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9AE" w:rsidRPr="0067669A" w:rsidRDefault="0067669A" w:rsidP="002019AE">
      <w:pPr>
        <w:pStyle w:val="Heading1"/>
        <w:rPr>
          <w:noProof/>
          <w:lang w:val="ro-RO"/>
        </w:rPr>
      </w:pPr>
      <w:r w:rsidRPr="0067669A">
        <w:rPr>
          <w:lang w:val="ro-RO"/>
        </w:rPr>
        <w:t>IMPOZITAREA VENITURILOR PERSOANELOR FIZICE ȘI CONTRIBUȚIILE SOCIALE</w:t>
      </w:r>
      <w:r w:rsidR="002019AE" w:rsidRPr="0067669A">
        <w:rPr>
          <w:lang w:val="ro-RO"/>
        </w:rPr>
        <w:t xml:space="preserve"> </w:t>
      </w:r>
    </w:p>
    <w:p w:rsidR="0045384A" w:rsidRPr="00901D18" w:rsidRDefault="0045384A" w:rsidP="00E4644F">
      <w:pPr>
        <w:rPr>
          <w:lang w:val="ro-RO"/>
        </w:rPr>
        <w:sectPr w:rsidR="0045384A" w:rsidRPr="00901D18" w:rsidSect="008C7AF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p>
    <w:p w:rsidR="00E4644F" w:rsidRPr="00901D18" w:rsidRDefault="00E4644F" w:rsidP="00E4644F">
      <w:pPr>
        <w:rPr>
          <w:lang w:val="ro-RO"/>
        </w:rPr>
      </w:pPr>
    </w:p>
    <w:p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rsidR="0045384A" w:rsidRPr="00901D18" w:rsidRDefault="005768B1" w:rsidP="00FD62F6">
      <w:pPr>
        <w:ind w:firstLine="0"/>
        <w:rPr>
          <w:smallCaps/>
          <w:sz w:val="20"/>
          <w:szCs w:val="20"/>
          <w:lang w:val="ro-RO"/>
        </w:rPr>
      </w:pPr>
      <w:r>
        <w:rPr>
          <w:smallCaps/>
          <w:sz w:val="20"/>
          <w:szCs w:val="20"/>
          <w:lang w:val="ro-RO"/>
        </w:rPr>
        <w:t>Aura-Lăcrimioara Lupuț</w:t>
      </w:r>
    </w:p>
    <w:p w:rsidR="00CA7C0A" w:rsidRPr="00901D18" w:rsidRDefault="00CA7C0A" w:rsidP="00D9537B">
      <w:pPr>
        <w:ind w:firstLine="0"/>
        <w:jc w:val="left"/>
        <w:rPr>
          <w:caps/>
          <w:sz w:val="20"/>
          <w:szCs w:val="20"/>
          <w:lang w:val="ro-RO"/>
        </w:rPr>
      </w:pPr>
      <w:r w:rsidRPr="00901D18">
        <w:rPr>
          <w:caps/>
          <w:sz w:val="20"/>
          <w:szCs w:val="20"/>
          <w:lang w:val="ro-RO"/>
        </w:rPr>
        <w:t>Universitatea Tehnică din Cluj-Napoca</w:t>
      </w:r>
    </w:p>
    <w:p w:rsidR="00CA7C0A" w:rsidRPr="00901D18" w:rsidRDefault="0038301A" w:rsidP="00FD62F6">
      <w:pPr>
        <w:ind w:firstLine="0"/>
        <w:rPr>
          <w:sz w:val="20"/>
          <w:szCs w:val="20"/>
          <w:lang w:val="ro-RO"/>
        </w:rPr>
      </w:pPr>
      <w:r>
        <w:rPr>
          <w:sz w:val="20"/>
          <w:szCs w:val="20"/>
          <w:lang w:val="ro-RO"/>
        </w:rPr>
        <w:t>Faculty of Sciences</w:t>
      </w:r>
    </w:p>
    <w:p w:rsidR="00D17B18" w:rsidRPr="00901D18" w:rsidRDefault="0038301A" w:rsidP="00FD62F6">
      <w:pPr>
        <w:ind w:firstLine="0"/>
        <w:rPr>
          <w:sz w:val="20"/>
          <w:szCs w:val="20"/>
          <w:lang w:val="ro-RO"/>
        </w:rPr>
      </w:pPr>
      <w:r>
        <w:rPr>
          <w:sz w:val="20"/>
          <w:szCs w:val="20"/>
          <w:lang w:val="ro-RO"/>
        </w:rPr>
        <w:t>Specialization: Business Economics</w:t>
      </w:r>
    </w:p>
    <w:p w:rsidR="005768B1" w:rsidRPr="00901D18" w:rsidRDefault="00FD62F6" w:rsidP="00FD62F6">
      <w:pPr>
        <w:ind w:firstLine="0"/>
        <w:rPr>
          <w:sz w:val="20"/>
          <w:szCs w:val="20"/>
          <w:lang w:val="ro-RO"/>
        </w:rPr>
      </w:pPr>
      <w:r w:rsidRPr="00901D18">
        <w:rPr>
          <w:sz w:val="20"/>
          <w:szCs w:val="20"/>
          <w:lang w:val="ro-RO"/>
        </w:rPr>
        <w:t>Email:</w:t>
      </w:r>
      <w:r w:rsidR="005768B1">
        <w:rPr>
          <w:sz w:val="20"/>
          <w:szCs w:val="20"/>
          <w:lang w:val="ro-RO"/>
        </w:rPr>
        <w:t xml:space="preserve"> </w:t>
      </w:r>
      <w:hyperlink r:id="rId17" w:history="1">
        <w:r w:rsidR="005768B1" w:rsidRPr="00806900">
          <w:rPr>
            <w:rStyle w:val="Hyperlink"/>
            <w:sz w:val="20"/>
            <w:szCs w:val="20"/>
            <w:lang w:val="ro-RO"/>
          </w:rPr>
          <w:t>luputaura@yahoo.com</w:t>
        </w:r>
      </w:hyperlink>
      <w:r w:rsidR="005768B1">
        <w:rPr>
          <w:sz w:val="20"/>
          <w:szCs w:val="20"/>
          <w:lang w:val="ro-RO"/>
        </w:rPr>
        <w:t xml:space="preserve"> </w:t>
      </w:r>
    </w:p>
    <w:p w:rsidR="00FA3573" w:rsidRPr="00901D18" w:rsidRDefault="00FA3573" w:rsidP="00FD62F6">
      <w:pPr>
        <w:ind w:firstLine="0"/>
        <w:rPr>
          <w:sz w:val="20"/>
          <w:szCs w:val="20"/>
          <w:lang w:val="ro-RO"/>
        </w:rPr>
      </w:pPr>
    </w:p>
    <w:p w:rsidR="00D9537B" w:rsidRPr="00901D18" w:rsidRDefault="005768B1" w:rsidP="00D9537B">
      <w:pPr>
        <w:ind w:firstLine="0"/>
        <w:rPr>
          <w:smallCaps/>
          <w:sz w:val="20"/>
          <w:szCs w:val="20"/>
          <w:lang w:val="ro-RO"/>
        </w:rPr>
      </w:pPr>
      <w:r>
        <w:rPr>
          <w:smallCaps/>
          <w:sz w:val="20"/>
          <w:szCs w:val="20"/>
          <w:lang w:val="ro-RO"/>
        </w:rPr>
        <w:t>Ioana-lavinia pleșa (safta)</w:t>
      </w:r>
    </w:p>
    <w:p w:rsidR="00D9537B" w:rsidRPr="00901D18" w:rsidRDefault="00D9537B" w:rsidP="00D9537B">
      <w:pPr>
        <w:ind w:firstLine="0"/>
        <w:jc w:val="left"/>
        <w:rPr>
          <w:caps/>
          <w:sz w:val="20"/>
          <w:szCs w:val="20"/>
          <w:lang w:val="ro-RO"/>
        </w:rPr>
      </w:pPr>
      <w:r w:rsidRPr="00901D18">
        <w:rPr>
          <w:caps/>
          <w:sz w:val="20"/>
          <w:szCs w:val="20"/>
          <w:lang w:val="ro-RO"/>
        </w:rPr>
        <w:t>Universitatea Tehnică din Cluj-Napoca</w:t>
      </w:r>
    </w:p>
    <w:p w:rsidR="00D9537B" w:rsidRDefault="0038301A" w:rsidP="00D9537B">
      <w:pPr>
        <w:ind w:firstLine="0"/>
        <w:rPr>
          <w:sz w:val="20"/>
          <w:szCs w:val="20"/>
          <w:lang w:val="ro-RO"/>
        </w:rPr>
      </w:pPr>
      <w:r>
        <w:rPr>
          <w:sz w:val="20"/>
          <w:szCs w:val="20"/>
          <w:lang w:val="ro-RO"/>
        </w:rPr>
        <w:t>Faculty of Sciences</w:t>
      </w:r>
    </w:p>
    <w:p w:rsidR="005768B1" w:rsidRPr="00901D18" w:rsidRDefault="0038301A" w:rsidP="00D9537B">
      <w:pPr>
        <w:ind w:firstLine="0"/>
        <w:rPr>
          <w:sz w:val="20"/>
          <w:szCs w:val="20"/>
          <w:lang w:val="ro-RO"/>
        </w:rPr>
      </w:pPr>
      <w:r>
        <w:rPr>
          <w:sz w:val="20"/>
          <w:szCs w:val="20"/>
          <w:lang w:val="ro-RO"/>
        </w:rPr>
        <w:t>Department of Economical Science and Physics</w:t>
      </w:r>
    </w:p>
    <w:p w:rsidR="00D17B18" w:rsidRPr="00901D18" w:rsidRDefault="00D9537B" w:rsidP="00D9537B">
      <w:pPr>
        <w:ind w:firstLine="0"/>
        <w:rPr>
          <w:b/>
          <w:bCs/>
          <w:lang w:val="ro-RO"/>
        </w:rPr>
      </w:pPr>
      <w:r w:rsidRPr="00901D18">
        <w:rPr>
          <w:sz w:val="20"/>
          <w:szCs w:val="20"/>
          <w:lang w:val="ro-RO"/>
        </w:rPr>
        <w:t>Email:</w:t>
      </w:r>
      <w:r w:rsidR="005768B1">
        <w:rPr>
          <w:sz w:val="20"/>
          <w:szCs w:val="20"/>
          <w:lang w:val="ro-RO"/>
        </w:rPr>
        <w:t xml:space="preserve"> </w:t>
      </w:r>
      <w:hyperlink r:id="rId18" w:history="1">
        <w:r w:rsidR="005768B1" w:rsidRPr="00806900">
          <w:rPr>
            <w:rStyle w:val="Hyperlink"/>
            <w:sz w:val="20"/>
            <w:szCs w:val="20"/>
            <w:lang w:val="ro-RO"/>
          </w:rPr>
          <w:t>lavinia_15@yahoo.com</w:t>
        </w:r>
      </w:hyperlink>
      <w:r w:rsidR="005768B1">
        <w:rPr>
          <w:lang w:val="ro-RO"/>
        </w:rPr>
        <w:t xml:space="preserve"> </w:t>
      </w:r>
      <w:r w:rsidR="00FD62F6" w:rsidRPr="00901D18">
        <w:rPr>
          <w:lang w:val="ro-RO"/>
        </w:rPr>
        <w:t xml:space="preserve"> </w:t>
      </w:r>
      <w:r w:rsidR="00FD62F6" w:rsidRPr="00901D18">
        <w:rPr>
          <w:lang w:val="ro-RO"/>
        </w:rPr>
        <w:br w:type="column"/>
      </w:r>
      <w:r w:rsidR="00FD62F6" w:rsidRPr="00901D18">
        <w:rPr>
          <w:b/>
          <w:bCs/>
          <w:lang w:val="ro-RO"/>
        </w:rPr>
        <w:t>Abstract</w:t>
      </w:r>
    </w:p>
    <w:p w:rsidR="005768B1" w:rsidRPr="005768B1" w:rsidRDefault="00B65BF0" w:rsidP="005768B1">
      <w:pPr>
        <w:rPr>
          <w:lang w:val="ro-RO"/>
        </w:rPr>
      </w:pPr>
      <w:r w:rsidRPr="00B65BF0">
        <w:rPr>
          <w:rFonts w:ascii="Georgia Pro Cond Light" w:hAnsi="Georgia Pro Cond Light"/>
          <w:i/>
          <w:sz w:val="20"/>
        </w:rPr>
        <w:t>The paper presents the theoretical, legal, and practical framework regarding the taxation of individual income and social contributions in Romania, aiming to understand the taxation mechanisms, analyze recent fiscal outcomes, and draw conclusions about the efficiency of the tax system.</w:t>
      </w:r>
    </w:p>
    <w:p w:rsidR="0018611C" w:rsidRPr="00901D18" w:rsidRDefault="0018611C" w:rsidP="00CD04D9">
      <w:pPr>
        <w:ind w:firstLine="0"/>
        <w:rPr>
          <w:rStyle w:val="Emphasis"/>
          <w:lang w:val="ro-RO"/>
        </w:rPr>
      </w:pPr>
    </w:p>
    <w:p w:rsidR="00645718" w:rsidRPr="00901D18" w:rsidRDefault="00CE2B2F" w:rsidP="00FD62F6">
      <w:pPr>
        <w:ind w:firstLine="0"/>
        <w:rPr>
          <w:b/>
          <w:bCs/>
          <w:lang w:val="ro-RO"/>
        </w:rPr>
      </w:pPr>
      <w:r w:rsidRPr="00901D18">
        <w:rPr>
          <w:b/>
          <w:bCs/>
          <w:lang w:val="ro-RO"/>
        </w:rPr>
        <w:t>K</w:t>
      </w:r>
      <w:r w:rsidR="00EC6E85" w:rsidRPr="00901D18">
        <w:rPr>
          <w:b/>
          <w:bCs/>
          <w:lang w:val="ro-RO"/>
        </w:rPr>
        <w:t>eywords:</w:t>
      </w:r>
      <w:r w:rsidR="007A3A66" w:rsidRPr="00901D18">
        <w:rPr>
          <w:b/>
          <w:bCs/>
          <w:lang w:val="ro-RO"/>
        </w:rPr>
        <w:t xml:space="preserve"> </w:t>
      </w:r>
      <w:r w:rsidR="00B65BF0">
        <w:rPr>
          <w:rStyle w:val="Emphasis"/>
          <w:lang w:val="ro-RO"/>
        </w:rPr>
        <w:t>icome tax, taxpayer, Fiscal Code, fiscal system, Romania</w:t>
      </w:r>
    </w:p>
    <w:p w:rsidR="00EC6E85" w:rsidRPr="00901D18" w:rsidRDefault="00EC6E85" w:rsidP="00FD62F6">
      <w:pPr>
        <w:ind w:firstLine="0"/>
        <w:rPr>
          <w:b/>
          <w:bCs/>
          <w:lang w:val="ro-RO"/>
        </w:rPr>
      </w:pPr>
    </w:p>
    <w:p w:rsidR="00EC6E85" w:rsidRPr="00901D18" w:rsidRDefault="00EC6E85" w:rsidP="00FD62F6">
      <w:pPr>
        <w:ind w:firstLine="0"/>
        <w:rPr>
          <w:rStyle w:val="Emphasis"/>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rsidR="007A3745" w:rsidRDefault="00212BC6" w:rsidP="007A3745">
      <w:pPr>
        <w:rPr>
          <w:noProof/>
          <w:lang w:val="ro-RO"/>
        </w:rPr>
      </w:pPr>
      <w:r>
        <w:rPr>
          <w:noProof/>
          <w:lang w:val="ro-RO" w:eastAsia="ro-RO"/>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1028700" cy="342900"/>
                    </a:xfrm>
                    <a:prstGeom prst="rect">
                      <a:avLst/>
                    </a:prstGeom>
                  </pic:spPr>
                </pic:pic>
              </a:graphicData>
            </a:graphic>
          </wp:anchor>
        </w:drawing>
      </w:r>
      <w:r w:rsidR="007A3745">
        <w:rPr>
          <w:noProof/>
          <w:lang w:val="ro-RO" w:eastAsia="ro-RO"/>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4388BC7F"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" strokecolor="#a5a5a5 [3206]" strokeweight=".5pt">
                <v:stroke joinstyle="miter"/>
              </v:line>
            </w:pict>
          </mc:Fallback>
        </mc:AlternateContent>
      </w:r>
    </w:p>
    <w:p w:rsidR="00007B00" w:rsidRDefault="009D6A98" w:rsidP="00B65BF0">
      <w:pPr>
        <w:pStyle w:val="Heading2"/>
        <w:rPr>
          <w:noProof/>
          <w:lang w:val="ro-RO"/>
        </w:rPr>
      </w:pPr>
      <w:bookmarkStart w:id="0" w:name="_Ref89192959"/>
      <w:r w:rsidRPr="00901D18">
        <w:rPr>
          <w:noProof/>
          <w:lang w:val="ro-RO"/>
        </w:rPr>
        <w:t>Introduc</w:t>
      </w:r>
      <w:bookmarkEnd w:id="0"/>
      <w:r w:rsidR="00B65BF0">
        <w:rPr>
          <w:noProof/>
          <w:lang w:val="ro-RO"/>
        </w:rPr>
        <w:t>tion</w:t>
      </w:r>
    </w:p>
    <w:p w:rsidR="00B65BF0" w:rsidRDefault="00B65BF0" w:rsidP="00B65BF0">
      <w:pPr>
        <w:rPr>
          <w:lang w:val="ro-RO"/>
        </w:rPr>
      </w:pPr>
      <w:r w:rsidRPr="00B65BF0">
        <w:rPr>
          <w:lang w:val="ro-RO"/>
        </w:rPr>
        <w:t>Income tax represents one of the main sources of revenue for the state budget, playing a crucial role in supporting public expenditures and maintaining macroeconomic stability [1]. In Romania, this type of tax has a significant history, evolving from rudimentary forms in the interwar period to the implementation of a flat 10% rate starting in 2018 [2]. In the context of modernizing and digitizing the tax administration, Romanian authorities have carried out numerous reforms to improve tax collect</w:t>
      </w:r>
      <w:r>
        <w:rPr>
          <w:lang w:val="ro-RO"/>
        </w:rPr>
        <w:t>ion and reduce tax evasion [3].</w:t>
      </w:r>
    </w:p>
    <w:p w:rsidR="00B65BF0" w:rsidRDefault="00B65BF0" w:rsidP="00B65BF0">
      <w:pPr>
        <w:rPr>
          <w:lang w:val="ro-RO"/>
        </w:rPr>
      </w:pPr>
      <w:r w:rsidRPr="00B65BF0">
        <w:rPr>
          <w:lang w:val="ro-RO"/>
        </w:rPr>
        <w:t xml:space="preserve">Essentially, income tax is an instrument for income redistribution, serving multiple functions: financial, economic, and social [4]. It applies to income earned by individuals from various sources—such as salaries, self-employment, rent, investments, pensions, and others—and is governed by the Fiscal Code and the Code of Fiscal Procedure. Romania currently applies a predominantly proportional tax system, with certain differentiated deductions that move it toward a </w:t>
      </w:r>
      <w:r>
        <w:rPr>
          <w:lang w:val="ro-RO"/>
        </w:rPr>
        <w:t>semi-progressive model [5].</w:t>
      </w:r>
    </w:p>
    <w:p w:rsidR="002019AE" w:rsidRPr="00901D18" w:rsidRDefault="00B65BF0" w:rsidP="00B65BF0">
      <w:pPr>
        <w:rPr>
          <w:lang w:val="ro-RO"/>
        </w:rPr>
      </w:pPr>
      <w:r w:rsidRPr="00B65BF0">
        <w:rPr>
          <w:lang w:val="ro-RO"/>
        </w:rPr>
        <w:t>This paper aims to analyze the theoretical and legal framework of income tax, the method of applying and calculating tax obligations, and the evolution of Romania’s taxation system during the 2023–2025 period. It also highlights the social and economic implications of this tax and formulates conclusions regarding the efficiency and sustainability of the current fiscal system [6].</w:t>
      </w:r>
    </w:p>
    <w:p w:rsidR="00E4644F" w:rsidRDefault="00B65BF0" w:rsidP="00E4644F">
      <w:pPr>
        <w:pStyle w:val="Heading2"/>
        <w:rPr>
          <w:noProof/>
          <w:lang w:val="ro-RO"/>
        </w:rPr>
      </w:pPr>
      <w:r>
        <w:rPr>
          <w:noProof/>
          <w:lang w:val="ro-RO"/>
        </w:rPr>
        <w:t>Preliminary section</w:t>
      </w:r>
    </w:p>
    <w:p w:rsidR="00452AC6" w:rsidRPr="00A13D36" w:rsidRDefault="00A13D36" w:rsidP="00A13D36">
      <w:pPr>
        <w:pStyle w:val="ListParagraph"/>
        <w:numPr>
          <w:ilvl w:val="0"/>
          <w:numId w:val="1"/>
        </w:numPr>
        <w:rPr>
          <w:b/>
          <w:lang w:val="ro-RO"/>
        </w:rPr>
      </w:pPr>
      <w:r>
        <w:rPr>
          <w:b/>
          <w:lang w:val="ro-RO"/>
        </w:rPr>
        <w:t>Literature review</w:t>
      </w:r>
    </w:p>
    <w:p w:rsidR="00452AC6" w:rsidRDefault="006044CA" w:rsidP="006044CA">
      <w:pPr>
        <w:rPr>
          <w:lang w:val="ro-RO"/>
        </w:rPr>
      </w:pPr>
      <w:r w:rsidRPr="006044CA">
        <w:rPr>
          <w:lang w:val="ro-RO"/>
        </w:rPr>
        <w:t>The specialized literature on taxation and income tax highlights the central role this instrument plays in the functioning of the state. Tax is defined as a mandatory levy, imposed without immediate consideration, by public authority for the purpose of co</w:t>
      </w:r>
      <w:r>
        <w:rPr>
          <w:lang w:val="ro-RO"/>
        </w:rPr>
        <w:t xml:space="preserve">vering public expenditures [7]. </w:t>
      </w:r>
      <w:bookmarkStart w:id="1" w:name="_GoBack"/>
      <w:bookmarkEnd w:id="1"/>
      <w:r w:rsidRPr="006044CA">
        <w:rPr>
          <w:lang w:val="ro-RO"/>
        </w:rPr>
        <w:t xml:space="preserve">It is emphasized that taxes do not involve any direct return from the state and are established by law, being non-refundable and obligatory. They are applied based on the taxpayer’s ability to pay, regardless of the direct benefits received. The principles of </w:t>
      </w:r>
      <w:r w:rsidRPr="006044CA">
        <w:rPr>
          <w:lang w:val="ro-RO"/>
        </w:rPr>
        <w:lastRenderedPageBreak/>
        <w:t>taxation, formulated as early as the 18th century by Adam Smith, remain valid today: equity, certainty, convenience, and efficiency. Thus, the tax system must be predictable, fair</w:t>
      </w:r>
      <w:r>
        <w:rPr>
          <w:lang w:val="ro-RO"/>
        </w:rPr>
        <w:t xml:space="preserve">, and easy to implement [7]. </w:t>
      </w:r>
      <w:r w:rsidRPr="006044CA">
        <w:rPr>
          <w:lang w:val="ro-RO"/>
        </w:rPr>
        <w:t xml:space="preserve">In Romania, the legislation governing income tax is regulated by the Fiscal Code, currently enforced through Law no. 227/2015, which defines taxpayers, categories of taxable income, applicable rates, and calculation methods. The literature emphasizes the difficulty of balancing the complexity of the tax system with the need for clarity for taxpayers [8]. Clearly defining the taxable object and the tax base is essential for fair taxation. The Fiscal Code details taxable income, exemptions, and possible deductions, offering a comprehensive overview </w:t>
      </w:r>
      <w:r>
        <w:rPr>
          <w:lang w:val="ro-RO"/>
        </w:rPr>
        <w:t xml:space="preserve">of the methods of taxation [9]. </w:t>
      </w:r>
      <w:r w:rsidRPr="006044CA">
        <w:rPr>
          <w:lang w:val="ro-RO"/>
        </w:rPr>
        <w:t>Recent studies approach the personal income tax system from a practical perspective, with a focus on liberal professions, freelancers, and investors, highlighting the need for digitalization and transparency in the declaration and payment process [10]. Thus, the literature emphasizes both the theoretical and practical importance of income tax, as well as the challenges related to its application in various economic and social contexts.</w:t>
      </w:r>
    </w:p>
    <w:p w:rsidR="00452AC6" w:rsidRPr="00A13D36" w:rsidRDefault="00A13D36" w:rsidP="00A13D36">
      <w:pPr>
        <w:pStyle w:val="ListParagraph"/>
        <w:numPr>
          <w:ilvl w:val="0"/>
          <w:numId w:val="1"/>
        </w:numPr>
        <w:rPr>
          <w:b/>
          <w:lang w:val="ro-RO"/>
        </w:rPr>
      </w:pPr>
      <w:r>
        <w:rPr>
          <w:b/>
          <w:lang w:val="ro-RO"/>
        </w:rPr>
        <w:t>Methodology</w:t>
      </w:r>
    </w:p>
    <w:p w:rsidR="00D178C3" w:rsidRPr="0034417C" w:rsidRDefault="00A13D36" w:rsidP="00D178C3">
      <w:pPr>
        <w:rPr>
          <w:lang w:val="ro-RO"/>
        </w:rPr>
      </w:pPr>
      <w:r w:rsidRPr="00A13D36">
        <w:rPr>
          <w:lang w:val="ro-RO"/>
        </w:rPr>
        <w:t>To conduct the study on individual income taxation in Romania during the 2023–2025 period, a documentary-analytical methodology was employed, combined with the analysis of statistical data published by the National Agency for Fiscal Administration (ANAF) and the National Institute of Statistics (INS). The research involved the collection, processing, and interpretation of official data on the structure and evolution of income tax revenues, as well as the identification of relevant legislative changes introduced during this period. The analysis was complemented by interpretations of the socio-economic impact of recent legislative changes, such as the reduction of certain exemptions, the expansion of the tax base, and the implementation of differentiated deductions based on income and household composition. The results obtained allow for the formulation of conclusions regarding current fiscal trends, taxpayer compliance levels, and the identification of possible future directions for optimizing the income taxation system.</w:t>
      </w:r>
    </w:p>
    <w:p w:rsidR="00D178C3" w:rsidRPr="0034417C" w:rsidRDefault="0038301A" w:rsidP="00090421">
      <w:pPr>
        <w:ind w:firstLine="0"/>
        <w:jc w:val="center"/>
        <w:rPr>
          <w:lang w:val="ro-RO"/>
        </w:rPr>
      </w:pPr>
      <w:r w:rsidRPr="0038301A">
        <w:rPr>
          <w:lang w:val="ro-RO"/>
        </w:rPr>
        <w:drawing>
          <wp:inline distT="0" distB="0" distL="0" distR="0" wp14:anchorId="55CC2DE3" wp14:editId="7090145C">
            <wp:extent cx="4105910" cy="204115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14058" cy="2045210"/>
                    </a:xfrm>
                    <a:prstGeom prst="rect">
                      <a:avLst/>
                    </a:prstGeom>
                  </pic:spPr>
                </pic:pic>
              </a:graphicData>
            </a:graphic>
          </wp:inline>
        </w:drawing>
      </w:r>
    </w:p>
    <w:p w:rsidR="00090421" w:rsidRPr="0034417C" w:rsidRDefault="00D8752B" w:rsidP="00090421">
      <w:pPr>
        <w:jc w:val="center"/>
        <w:rPr>
          <w:b/>
          <w:lang w:val="ro-RO"/>
        </w:rPr>
      </w:pPr>
      <w:r>
        <w:rPr>
          <w:i/>
          <w:lang w:val="ro-RO"/>
        </w:rPr>
        <w:t>Figure</w:t>
      </w:r>
      <w:r w:rsidR="00090421" w:rsidRPr="0034417C">
        <w:rPr>
          <w:i/>
          <w:lang w:val="ro-RO"/>
        </w:rPr>
        <w:t xml:space="preserve"> 1. </w:t>
      </w:r>
      <w:r w:rsidR="00090421" w:rsidRPr="0034417C">
        <w:rPr>
          <w:b/>
          <w:lang w:val="ro-RO"/>
        </w:rPr>
        <w:t>Evolu</w:t>
      </w:r>
      <w:r>
        <w:rPr>
          <w:b/>
          <w:lang w:val="ro-RO"/>
        </w:rPr>
        <w:t>tion of the Share of Income Tax in Gross Domestic Product and  Budget Revenues (</w:t>
      </w:r>
      <w:r w:rsidR="00090421" w:rsidRPr="0034417C">
        <w:rPr>
          <w:b/>
          <w:lang w:val="ro-RO"/>
        </w:rPr>
        <w:t>2023-2025)</w:t>
      </w:r>
    </w:p>
    <w:p w:rsidR="00090421" w:rsidRPr="0034417C" w:rsidRDefault="00090421" w:rsidP="00090421">
      <w:pPr>
        <w:jc w:val="center"/>
        <w:rPr>
          <w:lang w:val="ro-RO"/>
        </w:rPr>
      </w:pPr>
      <w:r w:rsidRPr="0034417C">
        <w:rPr>
          <w:i/>
          <w:lang w:val="ro-RO"/>
        </w:rPr>
        <w:t>Sursa:</w:t>
      </w:r>
      <w:r w:rsidR="0038301A">
        <w:rPr>
          <w:lang w:val="ro-RO"/>
        </w:rPr>
        <w:t xml:space="preserve"> o</w:t>
      </w:r>
      <w:r w:rsidR="00D8752B">
        <w:rPr>
          <w:lang w:val="ro-RO"/>
        </w:rPr>
        <w:t>wn processing based on data published by the Ministry of Finance and</w:t>
      </w:r>
      <w:r w:rsidRPr="0034417C">
        <w:rPr>
          <w:lang w:val="ro-RO"/>
        </w:rPr>
        <w:t xml:space="preserve"> Eurostat</w:t>
      </w:r>
    </w:p>
    <w:p w:rsidR="00452AC6" w:rsidRPr="0034417C" w:rsidRDefault="00452AC6" w:rsidP="00090421">
      <w:pPr>
        <w:jc w:val="center"/>
        <w:rPr>
          <w:lang w:val="ro-RO"/>
        </w:rPr>
      </w:pPr>
    </w:p>
    <w:p w:rsidR="00452AC6" w:rsidRPr="0034417C" w:rsidRDefault="00A13D36" w:rsidP="00A13D36">
      <w:pPr>
        <w:ind w:firstLine="709"/>
        <w:rPr>
          <w:lang w:val="ro-RO"/>
        </w:rPr>
      </w:pPr>
      <w:r w:rsidRPr="00A13D36">
        <w:rPr>
          <w:lang w:val="ro-RO"/>
        </w:rPr>
        <w:t xml:space="preserve">A slightly upward trend can be observed, both in relation to GDP and as a share of total budget revenues, as illustrated in Figure 1. Although this evolution is positive, it continues to highlight the structural vulnerabilities of Romania’s fiscal system. The relatively low share of income tax in GDP and budget revenues, compared to the European average, reflects a fiscal regime characterized by low nominal tax rates, a budget structure dominated by social contributions, and ongoing challenges in revenue collection efficiency. Thus, despite the progress recorded during the 2023–2025 period, Romania continues to face a significant gap </w:t>
      </w:r>
      <w:r w:rsidRPr="00A13D36">
        <w:rPr>
          <w:lang w:val="ro-RO"/>
        </w:rPr>
        <w:lastRenderedPageBreak/>
        <w:t>compared to European fiscal standards, underlining the need for further reforms to broaden the tax base and improve administrative performance. In this context of fiscal consolidation, a significant increase in net budget revenues collected by the National Agency for Fiscal Administration (ANAF) is also noted. In the first five months of 2024, ANAF collected budget revenues totaling 175.19 billion lei, marking a 17.8% increase compared to the same period in 2023, when revenues amounted to 148.67 billion lei. This positive development reflects improved efficiency in tax administration and the success of measures adopted to expand the tax base and enhance voluntary compliance. Notably, income tax made a significant contribution to this upward trend, recording an annual growth of over 25% in the last quarter of 2024. According to the Fiscal Statistical Bulletin no. 4/2024 published by ANAF, income tax represented a substantial component of budget revenues in Q4 2024. During this period, income tax revenues amounted to 13,313.6 million lei, a 25.7% increase compared to the same quarter of the previous year. This growth reflects both improved tax compliance and the effectiveness of ANAF’s digitalization efforts. Individual taxpayers, including employees and the self-employed, were the primary contributors to this tax. Additionally, the number of active registered taxpayers as of December 31, 2024, increased, indicating an expansion of the tax base. This evolution underscores the importance of income tax within the structure of budget revenues and highlights the effectiveness of the fiscal measures adopted to improve collection.</w:t>
      </w:r>
    </w:p>
    <w:p w:rsidR="00452AC6" w:rsidRPr="00A13D36" w:rsidRDefault="00A13D36" w:rsidP="00A13D36">
      <w:pPr>
        <w:pStyle w:val="ListParagraph"/>
        <w:numPr>
          <w:ilvl w:val="0"/>
          <w:numId w:val="1"/>
        </w:numPr>
        <w:rPr>
          <w:b/>
          <w:lang w:val="ro-RO"/>
        </w:rPr>
      </w:pPr>
      <w:r>
        <w:rPr>
          <w:b/>
          <w:lang w:val="ro-RO"/>
        </w:rPr>
        <w:t>Result</w:t>
      </w:r>
    </w:p>
    <w:p w:rsidR="00CE1D8F" w:rsidRPr="0034417C" w:rsidRDefault="00A13D36" w:rsidP="00A13D36">
      <w:pPr>
        <w:ind w:firstLine="709"/>
        <w:rPr>
          <w:lang w:val="ro-RO"/>
        </w:rPr>
      </w:pPr>
      <w:r w:rsidRPr="00A13D36">
        <w:rPr>
          <w:lang w:val="ro-RO"/>
        </w:rPr>
        <w:t>The objective of the case study was to assess the efficiency and fiscal impact of the taxation regime applied to individuals, through a comparative analysis of data from 2023 and 2024, with projections for 2025. The primary data source was the budget execution published by the Ministry of Finance, supplemented by reports and press releases from ANAF. The main dimensions analyzed in the study included: the total volume of revenues collected from income tax; their contribution to the Gross Domestic Product (GDP); distribution by income sources—salaries, rental income, self-employment, pensions, investments—and the evolution of personal deductions and tax incentives.</w:t>
      </w:r>
    </w:p>
    <w:p w:rsidR="00090421" w:rsidRPr="0034417C" w:rsidRDefault="00D8752B" w:rsidP="00090421">
      <w:pPr>
        <w:ind w:firstLine="0"/>
        <w:rPr>
          <w:b/>
          <w:lang w:val="ro-RO"/>
        </w:rPr>
      </w:pPr>
      <w:r>
        <w:rPr>
          <w:b/>
          <w:lang w:val="ro-RO"/>
        </w:rPr>
        <w:t>Tax</w:t>
      </w:r>
      <w:r w:rsidR="00646C65">
        <w:rPr>
          <w:b/>
          <w:lang w:val="ro-RO"/>
        </w:rPr>
        <w:t>ation of</w:t>
      </w:r>
      <w:r>
        <w:rPr>
          <w:b/>
          <w:lang w:val="ro-RO"/>
        </w:rPr>
        <w:t xml:space="preserve"> income from salaries and similar salaries</w:t>
      </w:r>
    </w:p>
    <w:p w:rsidR="00090421" w:rsidRPr="0034417C" w:rsidRDefault="00CC5E5C" w:rsidP="00CE1D8F">
      <w:pPr>
        <w:ind w:firstLine="0"/>
        <w:jc w:val="center"/>
        <w:rPr>
          <w:b/>
          <w:lang w:val="ro-RO"/>
        </w:rPr>
      </w:pPr>
      <w:r>
        <w:rPr>
          <w:i/>
          <w:lang w:val="ro-RO"/>
        </w:rPr>
        <w:t>Table</w:t>
      </w:r>
      <w:r w:rsidR="00090421" w:rsidRPr="0034417C">
        <w:rPr>
          <w:i/>
          <w:lang w:val="ro-RO"/>
        </w:rPr>
        <w:t xml:space="preserve"> 1. </w:t>
      </w:r>
      <w:r>
        <w:rPr>
          <w:b/>
          <w:lang w:val="ro-RO"/>
        </w:rPr>
        <w:t>Fiscal and legislative context IT salary</w:t>
      </w:r>
    </w:p>
    <w:p w:rsidR="00090421" w:rsidRPr="0034417C" w:rsidRDefault="00090421" w:rsidP="00CE1D8F">
      <w:pPr>
        <w:ind w:firstLine="0"/>
        <w:jc w:val="center"/>
        <w:rPr>
          <w:b/>
          <w:lang w:val="ro-RO"/>
        </w:rPr>
      </w:pPr>
      <w:r w:rsidRPr="0034417C">
        <w:rPr>
          <w:noProof/>
          <w:lang w:val="ro-RO" w:eastAsia="ro-RO"/>
        </w:rPr>
        <w:drawing>
          <wp:inline distT="0" distB="0" distL="0" distR="0" wp14:anchorId="0F686D07" wp14:editId="342B6934">
            <wp:extent cx="4833010" cy="1231900"/>
            <wp:effectExtent l="0" t="0" r="571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44902" cy="1260420"/>
                    </a:xfrm>
                    <a:prstGeom prst="rect">
                      <a:avLst/>
                    </a:prstGeom>
                  </pic:spPr>
                </pic:pic>
              </a:graphicData>
            </a:graphic>
          </wp:inline>
        </w:drawing>
      </w:r>
    </w:p>
    <w:p w:rsidR="0034417C" w:rsidRPr="0034417C" w:rsidRDefault="00CC5E5C" w:rsidP="00A13D36">
      <w:pPr>
        <w:ind w:firstLine="0"/>
        <w:jc w:val="center"/>
        <w:rPr>
          <w:lang w:val="ro-RO"/>
        </w:rPr>
      </w:pPr>
      <w:r>
        <w:rPr>
          <w:i/>
          <w:lang w:val="ro-RO"/>
        </w:rPr>
        <w:t>Source</w:t>
      </w:r>
      <w:r w:rsidR="00090421" w:rsidRPr="0034417C">
        <w:rPr>
          <w:i/>
          <w:lang w:val="ro-RO"/>
        </w:rPr>
        <w:t>:</w:t>
      </w:r>
      <w:r>
        <w:rPr>
          <w:lang w:val="ro-RO"/>
        </w:rPr>
        <w:t xml:space="preserve"> own processing</w:t>
      </w:r>
    </w:p>
    <w:p w:rsidR="00090421" w:rsidRPr="0034417C" w:rsidRDefault="00CC5E5C" w:rsidP="00CE1D8F">
      <w:pPr>
        <w:spacing w:line="360" w:lineRule="auto"/>
        <w:ind w:firstLine="238"/>
        <w:jc w:val="center"/>
        <w:rPr>
          <w:rFonts w:eastAsia="Calibri" w:cs="Times New Roman"/>
          <w:b/>
          <w:lang w:val="ro-RO"/>
        </w:rPr>
      </w:pPr>
      <w:r>
        <w:rPr>
          <w:rFonts w:eastAsia="Calibri" w:cs="Times New Roman"/>
          <w:i/>
          <w:lang w:val="ro-RO"/>
        </w:rPr>
        <w:t>Table 2</w:t>
      </w:r>
      <w:r w:rsidR="00090421" w:rsidRPr="0034417C">
        <w:rPr>
          <w:rFonts w:eastAsia="Calibri" w:cs="Times New Roman"/>
          <w:i/>
          <w:lang w:val="ro-RO"/>
        </w:rPr>
        <w:t xml:space="preserve">. </w:t>
      </w:r>
      <w:r w:rsidR="00090421" w:rsidRPr="0034417C">
        <w:rPr>
          <w:rFonts w:eastAsia="Calibri" w:cs="Times New Roman"/>
          <w:b/>
          <w:lang w:val="ro-RO"/>
        </w:rPr>
        <w:t>C</w:t>
      </w:r>
      <w:r>
        <w:rPr>
          <w:rFonts w:eastAsia="Calibri" w:cs="Times New Roman"/>
          <w:b/>
          <w:lang w:val="ro-RO"/>
        </w:rPr>
        <w:t>omparison between IT salary statements for 2023 and</w:t>
      </w:r>
      <w:r w:rsidR="00090421" w:rsidRPr="0034417C">
        <w:rPr>
          <w:rFonts w:eastAsia="Calibri" w:cs="Times New Roman"/>
          <w:b/>
          <w:lang w:val="ro-RO"/>
        </w:rPr>
        <w:t xml:space="preserve"> 2024</w:t>
      </w:r>
    </w:p>
    <w:p w:rsidR="00090421" w:rsidRPr="0034417C" w:rsidRDefault="00090421" w:rsidP="00CE1D8F">
      <w:pPr>
        <w:ind w:firstLine="0"/>
        <w:jc w:val="center"/>
        <w:rPr>
          <w:b/>
          <w:lang w:val="ro-RO"/>
        </w:rPr>
      </w:pPr>
      <w:r w:rsidRPr="0034417C">
        <w:rPr>
          <w:noProof/>
          <w:lang w:val="ro-RO" w:eastAsia="ro-RO"/>
        </w:rPr>
        <w:drawing>
          <wp:inline distT="0" distB="0" distL="0" distR="0" wp14:anchorId="1EB0275D" wp14:editId="66E2E7BC">
            <wp:extent cx="4831080" cy="1577742"/>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65307" cy="1588920"/>
                    </a:xfrm>
                    <a:prstGeom prst="rect">
                      <a:avLst/>
                    </a:prstGeom>
                  </pic:spPr>
                </pic:pic>
              </a:graphicData>
            </a:graphic>
          </wp:inline>
        </w:drawing>
      </w:r>
    </w:p>
    <w:p w:rsidR="00090421" w:rsidRPr="0034417C" w:rsidRDefault="00CC5E5C" w:rsidP="00CE1D8F">
      <w:pPr>
        <w:ind w:firstLine="0"/>
        <w:jc w:val="center"/>
        <w:rPr>
          <w:lang w:val="ro-RO"/>
        </w:rPr>
      </w:pPr>
      <w:r>
        <w:rPr>
          <w:i/>
          <w:lang w:val="ro-RO"/>
        </w:rPr>
        <w:t>Source</w:t>
      </w:r>
      <w:r w:rsidR="00090421" w:rsidRPr="0034417C">
        <w:rPr>
          <w:i/>
          <w:lang w:val="ro-RO"/>
        </w:rPr>
        <w:t>:</w:t>
      </w:r>
      <w:r>
        <w:rPr>
          <w:lang w:val="ro-RO"/>
        </w:rPr>
        <w:t xml:space="preserve"> own processing</w:t>
      </w:r>
    </w:p>
    <w:p w:rsidR="00090421" w:rsidRPr="0034417C" w:rsidRDefault="00090421" w:rsidP="00CE1D8F">
      <w:pPr>
        <w:ind w:firstLine="0"/>
        <w:jc w:val="center"/>
        <w:rPr>
          <w:b/>
          <w:lang w:val="ro-RO"/>
        </w:rPr>
      </w:pPr>
      <w:r w:rsidRPr="0034417C">
        <w:rPr>
          <w:noProof/>
          <w:lang w:val="ro-RO" w:eastAsia="ro-RO"/>
        </w:rPr>
        <w:lastRenderedPageBreak/>
        <w:drawing>
          <wp:inline distT="0" distB="0" distL="0" distR="0" wp14:anchorId="03EDD14F" wp14:editId="55836FC2">
            <wp:extent cx="4335780" cy="256111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62518" cy="2576904"/>
                    </a:xfrm>
                    <a:prstGeom prst="rect">
                      <a:avLst/>
                    </a:prstGeom>
                  </pic:spPr>
                </pic:pic>
              </a:graphicData>
            </a:graphic>
          </wp:inline>
        </w:drawing>
      </w:r>
    </w:p>
    <w:p w:rsidR="00090421" w:rsidRPr="0034417C" w:rsidRDefault="00CC5E5C" w:rsidP="00CE1D8F">
      <w:pPr>
        <w:ind w:firstLine="0"/>
        <w:jc w:val="center"/>
        <w:rPr>
          <w:b/>
          <w:lang w:val="ro-RO"/>
        </w:rPr>
      </w:pPr>
      <w:r>
        <w:rPr>
          <w:i/>
          <w:lang w:val="ro-RO"/>
        </w:rPr>
        <w:t>Figure</w:t>
      </w:r>
      <w:r w:rsidR="0034417C">
        <w:rPr>
          <w:i/>
          <w:lang w:val="ro-RO"/>
        </w:rPr>
        <w:t xml:space="preserve"> 2</w:t>
      </w:r>
      <w:r w:rsidR="00090421" w:rsidRPr="0034417C">
        <w:rPr>
          <w:i/>
          <w:lang w:val="ro-RO"/>
        </w:rPr>
        <w:t xml:space="preserve">. </w:t>
      </w:r>
      <w:r w:rsidR="00090421" w:rsidRPr="0034417C">
        <w:rPr>
          <w:b/>
          <w:lang w:val="ro-RO"/>
        </w:rPr>
        <w:t>Evolu</w:t>
      </w:r>
      <w:r>
        <w:rPr>
          <w:b/>
          <w:lang w:val="ro-RO"/>
        </w:rPr>
        <w:t xml:space="preserve">tion of IT salary situations for 2023 and </w:t>
      </w:r>
      <w:r w:rsidR="00090421" w:rsidRPr="0034417C">
        <w:rPr>
          <w:b/>
          <w:lang w:val="ro-RO"/>
        </w:rPr>
        <w:t>2024</w:t>
      </w:r>
    </w:p>
    <w:p w:rsidR="00090421" w:rsidRDefault="00CC5E5C" w:rsidP="00CE1D8F">
      <w:pPr>
        <w:ind w:firstLine="0"/>
        <w:jc w:val="center"/>
        <w:rPr>
          <w:lang w:val="ro-RO"/>
        </w:rPr>
      </w:pPr>
      <w:r>
        <w:rPr>
          <w:i/>
          <w:lang w:val="ro-RO"/>
        </w:rPr>
        <w:t>Source</w:t>
      </w:r>
      <w:r w:rsidR="00090421" w:rsidRPr="0034417C">
        <w:rPr>
          <w:i/>
          <w:lang w:val="ro-RO"/>
        </w:rPr>
        <w:t>:</w:t>
      </w:r>
      <w:r>
        <w:rPr>
          <w:lang w:val="ro-RO"/>
        </w:rPr>
        <w:t xml:space="preserve"> own processing</w:t>
      </w:r>
    </w:p>
    <w:p w:rsidR="0034417C" w:rsidRPr="0034417C" w:rsidRDefault="0034417C" w:rsidP="0034417C">
      <w:pPr>
        <w:rPr>
          <w:lang w:val="ro-RO"/>
        </w:rPr>
      </w:pPr>
    </w:p>
    <w:p w:rsidR="00CE1D8F" w:rsidRPr="0034417C" w:rsidRDefault="00A13D36" w:rsidP="00CC5E5C">
      <w:pPr>
        <w:rPr>
          <w:lang w:val="ro-RO"/>
        </w:rPr>
      </w:pPr>
      <w:r w:rsidRPr="00A13D36">
        <w:rPr>
          <w:lang w:val="ro-RO"/>
        </w:rPr>
        <w:t>The case study, as shown in Tables 1 and 2 and Figure 2, highlights the significant impact of eliminating tax incentives for salary income in Romania. Employee-paid taxes increased by 66%, reducing the net salary by nearly 2,000 lei. The reintroduction of income tax and health insurance contributions (CASS) led to a rise in the effective tax rate from 25% to 41.5%, particularly affecting IT employees with incomes exceeding 10,000 lei. Although the measure aims to ensure fiscal equity across sectors, it may negatively impact the competitiveness of the IT industry.</w:t>
      </w:r>
    </w:p>
    <w:p w:rsidR="00090421" w:rsidRPr="0034417C" w:rsidRDefault="00CC5E5C" w:rsidP="00090421">
      <w:pPr>
        <w:ind w:firstLine="0"/>
        <w:rPr>
          <w:b/>
          <w:lang w:val="ro-RO"/>
        </w:rPr>
      </w:pPr>
      <w:r>
        <w:rPr>
          <w:b/>
          <w:lang w:val="ro-RO"/>
        </w:rPr>
        <w:t>Taxation of income from self-employment</w:t>
      </w:r>
    </w:p>
    <w:p w:rsidR="00452AC6" w:rsidRPr="0034417C" w:rsidRDefault="00CC5E5C" w:rsidP="00CE1D8F">
      <w:pPr>
        <w:ind w:firstLine="0"/>
        <w:jc w:val="center"/>
        <w:rPr>
          <w:b/>
          <w:lang w:val="ro-RO"/>
        </w:rPr>
      </w:pPr>
      <w:r>
        <w:rPr>
          <w:i/>
          <w:lang w:val="ro-RO"/>
        </w:rPr>
        <w:t>Table</w:t>
      </w:r>
      <w:r w:rsidR="00452AC6" w:rsidRPr="0034417C">
        <w:rPr>
          <w:i/>
          <w:lang w:val="ro-RO"/>
        </w:rPr>
        <w:t xml:space="preserve"> 3. </w:t>
      </w:r>
      <w:r>
        <w:rPr>
          <w:b/>
          <w:lang w:val="ro-RO"/>
        </w:rPr>
        <w:t>Fiscal and legislative context IT norm</w:t>
      </w:r>
    </w:p>
    <w:p w:rsidR="00452AC6" w:rsidRPr="0034417C" w:rsidRDefault="00452AC6" w:rsidP="00CE1D8F">
      <w:pPr>
        <w:jc w:val="center"/>
        <w:rPr>
          <w:b/>
          <w:lang w:val="ro-RO"/>
        </w:rPr>
      </w:pPr>
      <w:r w:rsidRPr="0034417C">
        <w:rPr>
          <w:b/>
          <w:noProof/>
          <w:lang w:val="ro-RO" w:eastAsia="ro-RO"/>
        </w:rPr>
        <w:drawing>
          <wp:inline distT="0" distB="0" distL="0" distR="0" wp14:anchorId="2604888B" wp14:editId="16F703C1">
            <wp:extent cx="4722829" cy="1133952"/>
            <wp:effectExtent l="0" t="0" r="190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5039" b="6342"/>
                    <a:stretch/>
                  </pic:blipFill>
                  <pic:spPr bwMode="auto">
                    <a:xfrm>
                      <a:off x="0" y="0"/>
                      <a:ext cx="4780879" cy="1147890"/>
                    </a:xfrm>
                    <a:prstGeom prst="rect">
                      <a:avLst/>
                    </a:prstGeom>
                    <a:ln>
                      <a:noFill/>
                    </a:ln>
                    <a:extLst>
                      <a:ext uri="{53640926-AAD7-44D8-BBD7-CCE9431645EC}">
                        <a14:shadowObscured xmlns:a14="http://schemas.microsoft.com/office/drawing/2010/main"/>
                      </a:ext>
                    </a:extLst>
                  </pic:spPr>
                </pic:pic>
              </a:graphicData>
            </a:graphic>
          </wp:inline>
        </w:drawing>
      </w:r>
    </w:p>
    <w:p w:rsidR="00CE1D8F" w:rsidRDefault="00CC5E5C" w:rsidP="00CC5E5C">
      <w:pPr>
        <w:tabs>
          <w:tab w:val="center" w:pos="4513"/>
          <w:tab w:val="right" w:pos="8788"/>
        </w:tabs>
        <w:ind w:firstLine="0"/>
        <w:jc w:val="center"/>
        <w:rPr>
          <w:lang w:val="ro-RO"/>
        </w:rPr>
      </w:pPr>
      <w:r>
        <w:rPr>
          <w:i/>
          <w:lang w:val="ro-RO"/>
        </w:rPr>
        <w:t>Source</w:t>
      </w:r>
      <w:r w:rsidR="00452AC6" w:rsidRPr="0034417C">
        <w:rPr>
          <w:i/>
          <w:lang w:val="ro-RO"/>
        </w:rPr>
        <w:t>:</w:t>
      </w:r>
      <w:r>
        <w:rPr>
          <w:lang w:val="ro-RO"/>
        </w:rPr>
        <w:t xml:space="preserve"> own processing</w:t>
      </w:r>
    </w:p>
    <w:p w:rsidR="00452AC6" w:rsidRPr="0034417C" w:rsidRDefault="00CC5E5C" w:rsidP="00CE1D8F">
      <w:pPr>
        <w:ind w:firstLine="0"/>
        <w:jc w:val="center"/>
        <w:rPr>
          <w:b/>
          <w:lang w:val="ro-RO"/>
        </w:rPr>
      </w:pPr>
      <w:r>
        <w:rPr>
          <w:i/>
          <w:lang w:val="ro-RO"/>
        </w:rPr>
        <w:t>Table</w:t>
      </w:r>
      <w:r w:rsidR="00452AC6" w:rsidRPr="0034417C">
        <w:rPr>
          <w:i/>
          <w:lang w:val="ro-RO"/>
        </w:rPr>
        <w:t xml:space="preserve"> 4. </w:t>
      </w:r>
      <w:r w:rsidR="00452AC6" w:rsidRPr="0034417C">
        <w:rPr>
          <w:b/>
          <w:lang w:val="ro-RO"/>
        </w:rPr>
        <w:t>Compar</w:t>
      </w:r>
      <w:r>
        <w:rPr>
          <w:b/>
          <w:lang w:val="ro-RO"/>
        </w:rPr>
        <w:t>ison between IT norms for 2023 and</w:t>
      </w:r>
      <w:r w:rsidR="00452AC6" w:rsidRPr="0034417C">
        <w:rPr>
          <w:b/>
          <w:lang w:val="ro-RO"/>
        </w:rPr>
        <w:t xml:space="preserve"> 2024</w:t>
      </w:r>
    </w:p>
    <w:p w:rsidR="00452AC6" w:rsidRPr="0034417C" w:rsidRDefault="00452AC6" w:rsidP="00CE1D8F">
      <w:pPr>
        <w:ind w:firstLine="0"/>
        <w:jc w:val="center"/>
        <w:rPr>
          <w:lang w:val="ro-RO"/>
        </w:rPr>
      </w:pPr>
      <w:r w:rsidRPr="0034417C">
        <w:rPr>
          <w:noProof/>
          <w:lang w:val="ro-RO" w:eastAsia="ro-RO"/>
        </w:rPr>
        <w:drawing>
          <wp:inline distT="0" distB="0" distL="0" distR="0" wp14:anchorId="1D57D2FD" wp14:editId="4D45FF83">
            <wp:extent cx="4521200" cy="15490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r="432"/>
                    <a:stretch/>
                  </pic:blipFill>
                  <pic:spPr bwMode="auto">
                    <a:xfrm>
                      <a:off x="0" y="0"/>
                      <a:ext cx="4539734" cy="1555442"/>
                    </a:xfrm>
                    <a:prstGeom prst="rect">
                      <a:avLst/>
                    </a:prstGeom>
                    <a:ln>
                      <a:noFill/>
                    </a:ln>
                    <a:extLst>
                      <a:ext uri="{53640926-AAD7-44D8-BBD7-CCE9431645EC}">
                        <a14:shadowObscured xmlns:a14="http://schemas.microsoft.com/office/drawing/2010/main"/>
                      </a:ext>
                    </a:extLst>
                  </pic:spPr>
                </pic:pic>
              </a:graphicData>
            </a:graphic>
          </wp:inline>
        </w:drawing>
      </w:r>
    </w:p>
    <w:p w:rsidR="00452AC6" w:rsidRPr="0034417C" w:rsidRDefault="00CC5E5C" w:rsidP="00CE1D8F">
      <w:pPr>
        <w:ind w:firstLine="0"/>
        <w:jc w:val="center"/>
        <w:rPr>
          <w:lang w:val="ro-RO"/>
        </w:rPr>
      </w:pPr>
      <w:r>
        <w:rPr>
          <w:i/>
          <w:lang w:val="ro-RO"/>
        </w:rPr>
        <w:t>Source</w:t>
      </w:r>
      <w:r w:rsidR="00452AC6" w:rsidRPr="0034417C">
        <w:rPr>
          <w:i/>
          <w:lang w:val="ro-RO"/>
        </w:rPr>
        <w:t>:</w:t>
      </w:r>
      <w:r>
        <w:rPr>
          <w:lang w:val="ro-RO"/>
        </w:rPr>
        <w:t xml:space="preserve"> own processing</w:t>
      </w:r>
    </w:p>
    <w:p w:rsidR="00452AC6" w:rsidRPr="0034417C" w:rsidRDefault="00452AC6" w:rsidP="00CE1D8F">
      <w:pPr>
        <w:ind w:firstLine="0"/>
        <w:jc w:val="center"/>
        <w:rPr>
          <w:lang w:val="ro-RO"/>
        </w:rPr>
      </w:pPr>
      <w:r w:rsidRPr="0034417C">
        <w:rPr>
          <w:noProof/>
          <w:lang w:val="ro-RO" w:eastAsia="ro-RO"/>
        </w:rPr>
        <w:lastRenderedPageBreak/>
        <w:drawing>
          <wp:inline distT="0" distB="0" distL="0" distR="0" wp14:anchorId="116828FF" wp14:editId="63F98165">
            <wp:extent cx="4170680" cy="2484469"/>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88574" cy="2495128"/>
                    </a:xfrm>
                    <a:prstGeom prst="rect">
                      <a:avLst/>
                    </a:prstGeom>
                  </pic:spPr>
                </pic:pic>
              </a:graphicData>
            </a:graphic>
          </wp:inline>
        </w:drawing>
      </w:r>
    </w:p>
    <w:p w:rsidR="00452AC6" w:rsidRPr="0034417C" w:rsidRDefault="00CC5E5C" w:rsidP="00CE1D8F">
      <w:pPr>
        <w:ind w:firstLine="0"/>
        <w:jc w:val="center"/>
        <w:rPr>
          <w:b/>
          <w:lang w:val="ro-RO"/>
        </w:rPr>
      </w:pPr>
      <w:r>
        <w:rPr>
          <w:i/>
          <w:lang w:val="ro-RO"/>
        </w:rPr>
        <w:t>Figure</w:t>
      </w:r>
      <w:r w:rsidR="0034417C">
        <w:rPr>
          <w:i/>
          <w:lang w:val="ro-RO"/>
        </w:rPr>
        <w:t xml:space="preserve"> 3</w:t>
      </w:r>
      <w:r w:rsidR="00452AC6" w:rsidRPr="0034417C">
        <w:rPr>
          <w:i/>
          <w:lang w:val="ro-RO"/>
        </w:rPr>
        <w:t xml:space="preserve">. </w:t>
      </w:r>
      <w:r>
        <w:rPr>
          <w:b/>
          <w:lang w:val="ro-RO"/>
        </w:rPr>
        <w:t>Evolution of IT regulations for 2023 and</w:t>
      </w:r>
      <w:r w:rsidR="00452AC6" w:rsidRPr="0034417C">
        <w:rPr>
          <w:b/>
          <w:lang w:val="ro-RO"/>
        </w:rPr>
        <w:t xml:space="preserve"> 2024</w:t>
      </w:r>
    </w:p>
    <w:p w:rsidR="00452AC6" w:rsidRPr="0034417C" w:rsidRDefault="00CC5E5C" w:rsidP="00CE1D8F">
      <w:pPr>
        <w:ind w:firstLine="0"/>
        <w:jc w:val="center"/>
        <w:rPr>
          <w:lang w:val="ro-RO"/>
        </w:rPr>
      </w:pPr>
      <w:r>
        <w:rPr>
          <w:i/>
          <w:lang w:val="ro-RO"/>
        </w:rPr>
        <w:t>Source</w:t>
      </w:r>
      <w:r w:rsidR="00452AC6" w:rsidRPr="0034417C">
        <w:rPr>
          <w:i/>
          <w:lang w:val="ro-RO"/>
        </w:rPr>
        <w:t>:</w:t>
      </w:r>
      <w:r>
        <w:rPr>
          <w:lang w:val="ro-RO"/>
        </w:rPr>
        <w:t xml:space="preserve"> own processing</w:t>
      </w:r>
    </w:p>
    <w:p w:rsidR="00452AC6" w:rsidRPr="0034417C" w:rsidRDefault="00452AC6" w:rsidP="00452AC6">
      <w:pPr>
        <w:jc w:val="center"/>
        <w:rPr>
          <w:lang w:val="ro-RO"/>
        </w:rPr>
      </w:pPr>
    </w:p>
    <w:p w:rsidR="00CE1D8F" w:rsidRPr="0034417C" w:rsidRDefault="00A13D36" w:rsidP="00CC5E5C">
      <w:pPr>
        <w:rPr>
          <w:lang w:val="ro-RO"/>
        </w:rPr>
      </w:pPr>
      <w:r w:rsidRPr="00A13D36">
        <w:rPr>
          <w:lang w:val="ro-RO"/>
        </w:rPr>
        <w:t>The case study, presented in Tables 3 and 4 and Figure 3, shows a sharp increase in the tax burden for self-employment activities, with the effective tax rate rising from 37.37% in 2023 to around 70% in 2024. This significantly reduces net income, even though the income norm remained unchanged. The measure aims to ensure fiscal balance and reduce tax evasion, but without adjusting the income norms, it could seriously affect the viability of self-employment activities.</w:t>
      </w:r>
    </w:p>
    <w:p w:rsidR="00CE1D8F" w:rsidRDefault="00CC5E5C" w:rsidP="00CE1D8F">
      <w:pPr>
        <w:ind w:firstLine="0"/>
        <w:rPr>
          <w:b/>
          <w:lang w:val="ro-RO"/>
        </w:rPr>
      </w:pPr>
      <w:r>
        <w:rPr>
          <w:b/>
          <w:lang w:val="ro-RO"/>
        </w:rPr>
        <w:t>Taxation of income from the transfer of use of goods</w:t>
      </w:r>
    </w:p>
    <w:p w:rsidR="00452AC6" w:rsidRPr="0034417C" w:rsidRDefault="00CC5E5C" w:rsidP="00CE1D8F">
      <w:pPr>
        <w:ind w:firstLine="0"/>
        <w:jc w:val="center"/>
        <w:rPr>
          <w:b/>
          <w:lang w:val="ro-RO"/>
        </w:rPr>
      </w:pPr>
      <w:r>
        <w:rPr>
          <w:i/>
          <w:lang w:val="ro-RO"/>
        </w:rPr>
        <w:t>Table</w:t>
      </w:r>
      <w:r w:rsidR="00452AC6" w:rsidRPr="0034417C">
        <w:rPr>
          <w:i/>
          <w:lang w:val="ro-RO"/>
        </w:rPr>
        <w:t xml:space="preserve"> 5. </w:t>
      </w:r>
      <w:r w:rsidR="00452AC6" w:rsidRPr="0034417C">
        <w:rPr>
          <w:b/>
          <w:lang w:val="ro-RO"/>
        </w:rPr>
        <w:t>C</w:t>
      </w:r>
      <w:r>
        <w:rPr>
          <w:b/>
          <w:lang w:val="ro-RO"/>
        </w:rPr>
        <w:t>omparison of calculations of transfer of use of goods for 2023 and</w:t>
      </w:r>
      <w:r w:rsidR="00452AC6" w:rsidRPr="0034417C">
        <w:rPr>
          <w:b/>
          <w:lang w:val="ro-RO"/>
        </w:rPr>
        <w:t xml:space="preserve"> 2024</w:t>
      </w:r>
    </w:p>
    <w:p w:rsidR="00452AC6" w:rsidRPr="0034417C" w:rsidRDefault="00452AC6" w:rsidP="00CE1D8F">
      <w:pPr>
        <w:ind w:firstLine="0"/>
        <w:jc w:val="center"/>
        <w:rPr>
          <w:b/>
          <w:lang w:val="ro-RO"/>
        </w:rPr>
      </w:pPr>
      <w:r w:rsidRPr="0034417C">
        <w:rPr>
          <w:noProof/>
          <w:lang w:val="ro-RO" w:eastAsia="ro-RO"/>
        </w:rPr>
        <w:drawing>
          <wp:inline distT="0" distB="0" distL="0" distR="0" wp14:anchorId="123F0057" wp14:editId="15FCCC38">
            <wp:extent cx="4481588" cy="20260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33454" cy="2049547"/>
                    </a:xfrm>
                    <a:prstGeom prst="rect">
                      <a:avLst/>
                    </a:prstGeom>
                  </pic:spPr>
                </pic:pic>
              </a:graphicData>
            </a:graphic>
          </wp:inline>
        </w:drawing>
      </w:r>
    </w:p>
    <w:p w:rsidR="00452AC6" w:rsidRPr="0034417C" w:rsidRDefault="00CC5E5C" w:rsidP="00CE1D8F">
      <w:pPr>
        <w:ind w:firstLine="0"/>
        <w:jc w:val="center"/>
        <w:rPr>
          <w:lang w:val="ro-RO"/>
        </w:rPr>
      </w:pPr>
      <w:r>
        <w:rPr>
          <w:i/>
          <w:lang w:val="ro-RO"/>
        </w:rPr>
        <w:t>Source</w:t>
      </w:r>
      <w:r w:rsidR="00452AC6" w:rsidRPr="0034417C">
        <w:rPr>
          <w:i/>
          <w:lang w:val="ro-RO"/>
        </w:rPr>
        <w:t>:</w:t>
      </w:r>
      <w:r>
        <w:rPr>
          <w:lang w:val="ro-RO"/>
        </w:rPr>
        <w:t xml:space="preserve"> own processing</w:t>
      </w:r>
    </w:p>
    <w:p w:rsidR="00452AC6" w:rsidRPr="0034417C" w:rsidRDefault="00452AC6" w:rsidP="00CE1D8F">
      <w:pPr>
        <w:ind w:firstLine="0"/>
        <w:jc w:val="center"/>
        <w:rPr>
          <w:lang w:val="ro-RO"/>
        </w:rPr>
      </w:pPr>
      <w:r w:rsidRPr="0034417C">
        <w:rPr>
          <w:noProof/>
          <w:lang w:val="ro-RO" w:eastAsia="ro-RO"/>
        </w:rPr>
        <w:lastRenderedPageBreak/>
        <w:drawing>
          <wp:inline distT="0" distB="0" distL="0" distR="0" wp14:anchorId="1E33462E" wp14:editId="30181147">
            <wp:extent cx="4253230" cy="25423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67607" cy="2550949"/>
                    </a:xfrm>
                    <a:prstGeom prst="rect">
                      <a:avLst/>
                    </a:prstGeom>
                  </pic:spPr>
                </pic:pic>
              </a:graphicData>
            </a:graphic>
          </wp:inline>
        </w:drawing>
      </w:r>
    </w:p>
    <w:p w:rsidR="00452AC6" w:rsidRPr="0034417C" w:rsidRDefault="00CC5E5C" w:rsidP="00CE1D8F">
      <w:pPr>
        <w:ind w:firstLine="0"/>
        <w:jc w:val="center"/>
        <w:rPr>
          <w:b/>
          <w:lang w:val="ro-RO"/>
        </w:rPr>
      </w:pPr>
      <w:r>
        <w:rPr>
          <w:i/>
          <w:lang w:val="ro-RO"/>
        </w:rPr>
        <w:t>Figure</w:t>
      </w:r>
      <w:r w:rsidR="0034417C">
        <w:rPr>
          <w:i/>
          <w:lang w:val="ro-RO"/>
        </w:rPr>
        <w:t xml:space="preserve"> 4</w:t>
      </w:r>
      <w:r w:rsidR="00452AC6" w:rsidRPr="0034417C">
        <w:rPr>
          <w:i/>
          <w:lang w:val="ro-RO"/>
        </w:rPr>
        <w:t xml:space="preserve">. </w:t>
      </w:r>
      <w:r w:rsidR="00452AC6" w:rsidRPr="0034417C">
        <w:rPr>
          <w:b/>
          <w:lang w:val="ro-RO"/>
        </w:rPr>
        <w:t>Evolu</w:t>
      </w:r>
      <w:r w:rsidR="00646C65">
        <w:rPr>
          <w:b/>
          <w:lang w:val="ro-RO"/>
        </w:rPr>
        <w:t>tion of income from the transfer of use of goods for 2023 and</w:t>
      </w:r>
      <w:r w:rsidR="00452AC6" w:rsidRPr="0034417C">
        <w:rPr>
          <w:b/>
          <w:lang w:val="ro-RO"/>
        </w:rPr>
        <w:t xml:space="preserve"> 2024</w:t>
      </w:r>
    </w:p>
    <w:p w:rsidR="00452AC6" w:rsidRPr="0034417C" w:rsidRDefault="00CC5E5C" w:rsidP="00CE1D8F">
      <w:pPr>
        <w:ind w:firstLine="0"/>
        <w:jc w:val="center"/>
        <w:rPr>
          <w:lang w:val="ro-RO"/>
        </w:rPr>
      </w:pPr>
      <w:r>
        <w:rPr>
          <w:i/>
          <w:lang w:val="ro-RO"/>
        </w:rPr>
        <w:t>Source</w:t>
      </w:r>
      <w:r w:rsidR="00452AC6" w:rsidRPr="0034417C">
        <w:rPr>
          <w:i/>
          <w:lang w:val="ro-RO"/>
        </w:rPr>
        <w:t>:</w:t>
      </w:r>
      <w:r w:rsidR="00646C65">
        <w:rPr>
          <w:lang w:val="ro-RO"/>
        </w:rPr>
        <w:t xml:space="preserve"> own processing</w:t>
      </w:r>
    </w:p>
    <w:p w:rsidR="00CE1D8F" w:rsidRPr="0034417C" w:rsidRDefault="00A13D36" w:rsidP="00646C65">
      <w:pPr>
        <w:rPr>
          <w:lang w:val="ro-RO"/>
        </w:rPr>
      </w:pPr>
      <w:r w:rsidRPr="00A13D36">
        <w:rPr>
          <w:lang w:val="ro-RO"/>
        </w:rPr>
        <w:t>The case study, based on Table 5 and Figure 4, highlights a significant increase in the tax burden on rental income, leading to a decrease in net income despite a constant gross income. The additional tax burden exceeds 1,600 lei per year. The measures aim to eliminate preferential treatment and broaden the tax base, but they may become burdensome for taxpayers, especially in the absence of a proportional increase in income.</w:t>
      </w:r>
    </w:p>
    <w:p w:rsidR="00CE1D8F" w:rsidRDefault="00646C65" w:rsidP="00CE1D8F">
      <w:pPr>
        <w:ind w:firstLine="0"/>
        <w:rPr>
          <w:b/>
          <w:lang w:val="ro-RO"/>
        </w:rPr>
      </w:pPr>
      <w:r>
        <w:rPr>
          <w:b/>
          <w:lang w:val="ro-RO"/>
        </w:rPr>
        <w:t>Taxation of investment income</w:t>
      </w:r>
    </w:p>
    <w:p w:rsidR="0034417C" w:rsidRPr="0034417C" w:rsidRDefault="00646C65" w:rsidP="00CE1D8F">
      <w:pPr>
        <w:ind w:firstLine="0"/>
        <w:jc w:val="center"/>
        <w:rPr>
          <w:b/>
          <w:lang w:val="ro-RO"/>
        </w:rPr>
      </w:pPr>
      <w:r>
        <w:rPr>
          <w:i/>
          <w:lang w:val="ro-RO"/>
        </w:rPr>
        <w:t>Table</w:t>
      </w:r>
      <w:r w:rsidR="0034417C" w:rsidRPr="0034417C">
        <w:rPr>
          <w:i/>
          <w:lang w:val="ro-RO"/>
        </w:rPr>
        <w:t xml:space="preserve"> 6. </w:t>
      </w:r>
      <w:r>
        <w:rPr>
          <w:b/>
          <w:lang w:val="ro-RO"/>
        </w:rPr>
        <w:t>Comparison of investment calculations for 2023 and</w:t>
      </w:r>
      <w:r w:rsidR="0034417C" w:rsidRPr="0034417C">
        <w:rPr>
          <w:b/>
          <w:lang w:val="ro-RO"/>
        </w:rPr>
        <w:t xml:space="preserve"> 2024</w:t>
      </w:r>
    </w:p>
    <w:p w:rsidR="0034417C" w:rsidRPr="0034417C" w:rsidRDefault="0034417C" w:rsidP="00CE1D8F">
      <w:pPr>
        <w:ind w:firstLine="0"/>
        <w:jc w:val="center"/>
        <w:rPr>
          <w:lang w:val="ro-RO"/>
        </w:rPr>
      </w:pPr>
      <w:r w:rsidRPr="0034417C">
        <w:rPr>
          <w:noProof/>
          <w:lang w:val="ro-RO" w:eastAsia="ro-RO"/>
        </w:rPr>
        <w:drawing>
          <wp:inline distT="0" distB="0" distL="0" distR="0" wp14:anchorId="50592DEC" wp14:editId="08439F30">
            <wp:extent cx="4385945" cy="228180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16656" cy="2297786"/>
                    </a:xfrm>
                    <a:prstGeom prst="rect">
                      <a:avLst/>
                    </a:prstGeom>
                  </pic:spPr>
                </pic:pic>
              </a:graphicData>
            </a:graphic>
          </wp:inline>
        </w:drawing>
      </w:r>
    </w:p>
    <w:p w:rsidR="0034417C" w:rsidRPr="0034417C" w:rsidRDefault="00646C65" w:rsidP="00CE1D8F">
      <w:pPr>
        <w:ind w:firstLine="0"/>
        <w:jc w:val="center"/>
        <w:rPr>
          <w:lang w:val="ro-RO"/>
        </w:rPr>
      </w:pPr>
      <w:r>
        <w:rPr>
          <w:i/>
          <w:lang w:val="ro-RO"/>
        </w:rPr>
        <w:t>Source</w:t>
      </w:r>
      <w:r w:rsidR="0034417C" w:rsidRPr="0034417C">
        <w:rPr>
          <w:i/>
          <w:lang w:val="ro-RO"/>
        </w:rPr>
        <w:t>:</w:t>
      </w:r>
      <w:r>
        <w:rPr>
          <w:lang w:val="ro-RO"/>
        </w:rPr>
        <w:t xml:space="preserve"> own processing</w:t>
      </w:r>
    </w:p>
    <w:p w:rsidR="0034417C" w:rsidRPr="0034417C" w:rsidRDefault="0034417C" w:rsidP="00CE1D8F">
      <w:pPr>
        <w:ind w:firstLine="0"/>
        <w:jc w:val="center"/>
        <w:rPr>
          <w:lang w:val="ro-RO"/>
        </w:rPr>
      </w:pPr>
      <w:r w:rsidRPr="0034417C">
        <w:rPr>
          <w:noProof/>
          <w:lang w:val="ro-RO" w:eastAsia="ro-RO"/>
        </w:rPr>
        <w:lastRenderedPageBreak/>
        <w:drawing>
          <wp:inline distT="0" distB="0" distL="0" distR="0" wp14:anchorId="253EAFDC" wp14:editId="70ED3FF8">
            <wp:extent cx="4246880" cy="2508114"/>
            <wp:effectExtent l="0" t="0" r="127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61999" cy="2517043"/>
                    </a:xfrm>
                    <a:prstGeom prst="rect">
                      <a:avLst/>
                    </a:prstGeom>
                  </pic:spPr>
                </pic:pic>
              </a:graphicData>
            </a:graphic>
          </wp:inline>
        </w:drawing>
      </w:r>
    </w:p>
    <w:p w:rsidR="0034417C" w:rsidRPr="0034417C" w:rsidRDefault="0034417C" w:rsidP="00CE1D8F">
      <w:pPr>
        <w:ind w:firstLine="0"/>
        <w:jc w:val="center"/>
        <w:rPr>
          <w:b/>
          <w:lang w:val="ro-RO"/>
        </w:rPr>
      </w:pPr>
      <w:r w:rsidRPr="0034417C">
        <w:rPr>
          <w:i/>
          <w:lang w:val="ro-RO"/>
        </w:rPr>
        <w:t>Fig</w:t>
      </w:r>
      <w:r w:rsidR="00646C65">
        <w:rPr>
          <w:i/>
          <w:lang w:val="ro-RO"/>
        </w:rPr>
        <w:t>ure</w:t>
      </w:r>
      <w:r>
        <w:rPr>
          <w:i/>
          <w:lang w:val="ro-RO"/>
        </w:rPr>
        <w:t xml:space="preserve"> 5</w:t>
      </w:r>
      <w:r w:rsidRPr="0034417C">
        <w:rPr>
          <w:i/>
          <w:lang w:val="ro-RO"/>
        </w:rPr>
        <w:t xml:space="preserve">. </w:t>
      </w:r>
      <w:r w:rsidRPr="0034417C">
        <w:rPr>
          <w:b/>
          <w:lang w:val="ro-RO"/>
        </w:rPr>
        <w:t>Evolu</w:t>
      </w:r>
      <w:r w:rsidR="00646C65">
        <w:rPr>
          <w:b/>
          <w:lang w:val="ro-RO"/>
        </w:rPr>
        <w:t xml:space="preserve">tion of investment income situations for 2023 and </w:t>
      </w:r>
      <w:r w:rsidRPr="0034417C">
        <w:rPr>
          <w:b/>
          <w:lang w:val="ro-RO"/>
        </w:rPr>
        <w:t>2024</w:t>
      </w:r>
    </w:p>
    <w:p w:rsidR="0034417C" w:rsidRPr="0034417C" w:rsidRDefault="00646C65" w:rsidP="00CE1D8F">
      <w:pPr>
        <w:ind w:firstLine="0"/>
        <w:jc w:val="center"/>
        <w:rPr>
          <w:lang w:val="ro-RO"/>
        </w:rPr>
      </w:pPr>
      <w:r>
        <w:rPr>
          <w:i/>
          <w:lang w:val="ro-RO"/>
        </w:rPr>
        <w:t>Source</w:t>
      </w:r>
      <w:r w:rsidR="0034417C" w:rsidRPr="0034417C">
        <w:rPr>
          <w:i/>
          <w:lang w:val="ro-RO"/>
        </w:rPr>
        <w:t>:</w:t>
      </w:r>
      <w:r>
        <w:rPr>
          <w:lang w:val="ro-RO"/>
        </w:rPr>
        <w:t xml:space="preserve"> own processing</w:t>
      </w:r>
    </w:p>
    <w:p w:rsidR="0034417C" w:rsidRDefault="0034417C" w:rsidP="00090421">
      <w:pPr>
        <w:ind w:firstLine="0"/>
        <w:rPr>
          <w:b/>
          <w:lang w:val="ro-RO"/>
        </w:rPr>
      </w:pPr>
    </w:p>
    <w:p w:rsidR="0034417C" w:rsidRPr="0034417C" w:rsidRDefault="00A13D36" w:rsidP="00646C65">
      <w:pPr>
        <w:rPr>
          <w:b/>
          <w:lang w:val="ro-RO"/>
        </w:rPr>
      </w:pPr>
      <w:r w:rsidRPr="00A13D36">
        <w:rPr>
          <w:lang w:val="ro-RO"/>
        </w:rPr>
        <w:t>The case study, presented in Table 6 and Figure 5, shows a significant reduction in the tax burden on investment income, with the effective tax rate decreasing by nearly 8 percentage points. This increases the net return for investors, reflecting a fiscal policy aimed at aligning with European standards and stimulating Romania’s capital market.</w:t>
      </w:r>
    </w:p>
    <w:p w:rsidR="00CE1D8F" w:rsidRDefault="00646C65" w:rsidP="00CE1D8F">
      <w:pPr>
        <w:ind w:firstLine="0"/>
        <w:rPr>
          <w:b/>
          <w:lang w:val="ro-RO"/>
        </w:rPr>
      </w:pPr>
      <w:r>
        <w:rPr>
          <w:b/>
          <w:lang w:val="ro-RO"/>
        </w:rPr>
        <w:t>Taxation of pension income</w:t>
      </w:r>
    </w:p>
    <w:p w:rsidR="0034417C" w:rsidRPr="0034417C" w:rsidRDefault="00646C65" w:rsidP="00CE1D8F">
      <w:pPr>
        <w:ind w:firstLine="0"/>
        <w:jc w:val="center"/>
        <w:rPr>
          <w:b/>
          <w:lang w:val="ro-RO"/>
        </w:rPr>
      </w:pPr>
      <w:r>
        <w:rPr>
          <w:i/>
          <w:lang w:val="ro-RO"/>
        </w:rPr>
        <w:t>Table</w:t>
      </w:r>
      <w:r w:rsidR="0034417C" w:rsidRPr="0034417C">
        <w:rPr>
          <w:i/>
          <w:lang w:val="ro-RO"/>
        </w:rPr>
        <w:t xml:space="preserve"> 7. </w:t>
      </w:r>
      <w:r>
        <w:rPr>
          <w:b/>
          <w:lang w:val="ro-RO"/>
        </w:rPr>
        <w:t>Comparison of pension calculations for 2023 and</w:t>
      </w:r>
      <w:r w:rsidR="0034417C" w:rsidRPr="0034417C">
        <w:rPr>
          <w:b/>
          <w:lang w:val="ro-RO"/>
        </w:rPr>
        <w:t xml:space="preserve"> 2024</w:t>
      </w:r>
    </w:p>
    <w:p w:rsidR="0034417C" w:rsidRPr="0034417C" w:rsidRDefault="0034417C" w:rsidP="00CE1D8F">
      <w:pPr>
        <w:ind w:firstLine="0"/>
        <w:jc w:val="center"/>
        <w:rPr>
          <w:b/>
          <w:lang w:val="ro-RO"/>
        </w:rPr>
      </w:pPr>
      <w:r w:rsidRPr="0034417C">
        <w:rPr>
          <w:b/>
          <w:noProof/>
          <w:lang w:val="ro-RO" w:eastAsia="ro-RO"/>
        </w:rPr>
        <w:drawing>
          <wp:inline distT="0" distB="0" distL="0" distR="0" wp14:anchorId="4D573810" wp14:editId="260EAC7C">
            <wp:extent cx="4527012" cy="1631950"/>
            <wp:effectExtent l="0" t="0" r="698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71797" cy="1648095"/>
                    </a:xfrm>
                    <a:prstGeom prst="rect">
                      <a:avLst/>
                    </a:prstGeom>
                  </pic:spPr>
                </pic:pic>
              </a:graphicData>
            </a:graphic>
          </wp:inline>
        </w:drawing>
      </w:r>
    </w:p>
    <w:p w:rsidR="0034417C" w:rsidRDefault="00646C65" w:rsidP="00CE1D8F">
      <w:pPr>
        <w:ind w:firstLine="0"/>
        <w:jc w:val="center"/>
        <w:rPr>
          <w:lang w:val="ro-RO"/>
        </w:rPr>
      </w:pPr>
      <w:r>
        <w:rPr>
          <w:i/>
          <w:lang w:val="ro-RO"/>
        </w:rPr>
        <w:t>Source</w:t>
      </w:r>
      <w:r w:rsidR="0034417C" w:rsidRPr="0034417C">
        <w:rPr>
          <w:i/>
          <w:lang w:val="ro-RO"/>
        </w:rPr>
        <w:t>:</w:t>
      </w:r>
      <w:r>
        <w:rPr>
          <w:lang w:val="ro-RO"/>
        </w:rPr>
        <w:t xml:space="preserve"> own processing</w:t>
      </w:r>
    </w:p>
    <w:p w:rsidR="00646C65" w:rsidRPr="0034417C" w:rsidRDefault="00646C65" w:rsidP="00CE1D8F">
      <w:pPr>
        <w:ind w:firstLine="0"/>
        <w:jc w:val="center"/>
        <w:rPr>
          <w:lang w:val="ro-RO"/>
        </w:rPr>
      </w:pPr>
    </w:p>
    <w:p w:rsidR="0034417C" w:rsidRPr="0034417C" w:rsidRDefault="0034417C" w:rsidP="00CE1D8F">
      <w:pPr>
        <w:ind w:firstLine="0"/>
        <w:jc w:val="center"/>
        <w:rPr>
          <w:lang w:val="ro-RO"/>
        </w:rPr>
      </w:pPr>
      <w:r w:rsidRPr="0034417C">
        <w:rPr>
          <w:noProof/>
          <w:lang w:val="ro-RO" w:eastAsia="ro-RO"/>
        </w:rPr>
        <w:lastRenderedPageBreak/>
        <w:drawing>
          <wp:inline distT="0" distB="0" distL="0" distR="0" wp14:anchorId="1BFBCF64" wp14:editId="264FE79A">
            <wp:extent cx="4110990" cy="2421312"/>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50097" cy="2444346"/>
                    </a:xfrm>
                    <a:prstGeom prst="rect">
                      <a:avLst/>
                    </a:prstGeom>
                  </pic:spPr>
                </pic:pic>
              </a:graphicData>
            </a:graphic>
          </wp:inline>
        </w:drawing>
      </w:r>
    </w:p>
    <w:p w:rsidR="0034417C" w:rsidRPr="0034417C" w:rsidRDefault="00646C65" w:rsidP="00CE1D8F">
      <w:pPr>
        <w:ind w:firstLine="0"/>
        <w:jc w:val="center"/>
        <w:rPr>
          <w:b/>
          <w:lang w:val="ro-RO"/>
        </w:rPr>
      </w:pPr>
      <w:r>
        <w:rPr>
          <w:i/>
          <w:lang w:val="ro-RO"/>
        </w:rPr>
        <w:t>Figure</w:t>
      </w:r>
      <w:r w:rsidR="0034417C">
        <w:rPr>
          <w:i/>
          <w:lang w:val="ro-RO"/>
        </w:rPr>
        <w:t xml:space="preserve"> 6</w:t>
      </w:r>
      <w:r w:rsidR="0034417C" w:rsidRPr="0034417C">
        <w:rPr>
          <w:i/>
          <w:lang w:val="ro-RO"/>
        </w:rPr>
        <w:t xml:space="preserve">. </w:t>
      </w:r>
      <w:r w:rsidR="0034417C" w:rsidRPr="0034417C">
        <w:rPr>
          <w:b/>
          <w:lang w:val="ro-RO"/>
        </w:rPr>
        <w:t>Evolu</w:t>
      </w:r>
      <w:r>
        <w:rPr>
          <w:b/>
          <w:lang w:val="ro-RO"/>
        </w:rPr>
        <w:t xml:space="preserve">tion of pension income situations for 2023 and </w:t>
      </w:r>
      <w:r w:rsidR="0034417C" w:rsidRPr="0034417C">
        <w:rPr>
          <w:b/>
          <w:lang w:val="ro-RO"/>
        </w:rPr>
        <w:t>2024</w:t>
      </w:r>
    </w:p>
    <w:p w:rsidR="0034417C" w:rsidRPr="0034417C" w:rsidRDefault="00646C65" w:rsidP="00CE1D8F">
      <w:pPr>
        <w:ind w:firstLine="0"/>
        <w:jc w:val="center"/>
        <w:rPr>
          <w:lang w:val="ro-RO"/>
        </w:rPr>
      </w:pPr>
      <w:r>
        <w:rPr>
          <w:i/>
          <w:lang w:val="ro-RO"/>
        </w:rPr>
        <w:t>Source</w:t>
      </w:r>
      <w:r w:rsidR="0034417C" w:rsidRPr="0034417C">
        <w:rPr>
          <w:i/>
          <w:lang w:val="ro-RO"/>
        </w:rPr>
        <w:t>:</w:t>
      </w:r>
      <w:r>
        <w:rPr>
          <w:lang w:val="ro-RO"/>
        </w:rPr>
        <w:t xml:space="preserve"> own processing</w:t>
      </w:r>
    </w:p>
    <w:p w:rsidR="0034417C" w:rsidRPr="0034417C" w:rsidRDefault="0034417C" w:rsidP="00090421">
      <w:pPr>
        <w:ind w:firstLine="0"/>
        <w:rPr>
          <w:b/>
          <w:lang w:val="ro-RO"/>
        </w:rPr>
      </w:pPr>
    </w:p>
    <w:p w:rsidR="00015C18" w:rsidRPr="0034417C" w:rsidRDefault="00A13D36" w:rsidP="00646C65">
      <w:pPr>
        <w:rPr>
          <w:b/>
          <w:lang w:val="ro-RO"/>
        </w:rPr>
      </w:pPr>
      <w:r w:rsidRPr="00A13D36">
        <w:rPr>
          <w:lang w:val="ro-RO"/>
        </w:rPr>
        <w:t>The case study, based on Table 7 and Figure 6, shows an increase in the tax burden for pensions exceeding the threshold, following the introduction of health insurance contributions (CASS). However, net income rose by approximately 15% compared to 2023, due to the increase in gross pension amounts. This evolution reflects the delicate balance between fiscal consolidation and preserving pensioners’ purchasing power.</w:t>
      </w:r>
    </w:p>
    <w:p w:rsidR="00452AC6" w:rsidRPr="0034417C" w:rsidRDefault="00646C65" w:rsidP="00090421">
      <w:pPr>
        <w:ind w:firstLine="0"/>
        <w:rPr>
          <w:b/>
          <w:lang w:val="ro-RO"/>
        </w:rPr>
      </w:pPr>
      <w:r>
        <w:rPr>
          <w:b/>
          <w:lang w:val="ro-RO"/>
        </w:rPr>
        <w:t>Taxation of income from agricultural</w:t>
      </w:r>
      <w:r w:rsidR="0038301A">
        <w:rPr>
          <w:b/>
          <w:lang w:val="ro-RO"/>
        </w:rPr>
        <w:t>, forestry and fishing activities</w:t>
      </w:r>
    </w:p>
    <w:p w:rsidR="0034417C" w:rsidRPr="0034417C" w:rsidRDefault="00646C65" w:rsidP="00015C18">
      <w:pPr>
        <w:ind w:firstLine="0"/>
        <w:jc w:val="center"/>
        <w:rPr>
          <w:b/>
          <w:lang w:val="ro-RO"/>
        </w:rPr>
      </w:pPr>
      <w:r>
        <w:rPr>
          <w:i/>
          <w:lang w:val="ro-RO"/>
        </w:rPr>
        <w:t>Table</w:t>
      </w:r>
      <w:r w:rsidR="0034417C" w:rsidRPr="0034417C">
        <w:rPr>
          <w:i/>
          <w:lang w:val="ro-RO"/>
        </w:rPr>
        <w:t xml:space="preserve"> 8. </w:t>
      </w:r>
      <w:r w:rsidR="0034417C" w:rsidRPr="0034417C">
        <w:rPr>
          <w:b/>
          <w:lang w:val="ro-RO"/>
        </w:rPr>
        <w:t>C</w:t>
      </w:r>
      <w:r w:rsidR="0038301A">
        <w:rPr>
          <w:b/>
          <w:lang w:val="ro-RO"/>
        </w:rPr>
        <w:t>omparison of agricultural activity calculations for 2023 and</w:t>
      </w:r>
      <w:r w:rsidR="0034417C" w:rsidRPr="0034417C">
        <w:rPr>
          <w:b/>
          <w:lang w:val="ro-RO"/>
        </w:rPr>
        <w:t xml:space="preserve"> 2024</w:t>
      </w:r>
    </w:p>
    <w:p w:rsidR="0034417C" w:rsidRPr="0034417C" w:rsidRDefault="0034417C" w:rsidP="00015C18">
      <w:pPr>
        <w:ind w:firstLine="0"/>
        <w:jc w:val="center"/>
        <w:rPr>
          <w:b/>
          <w:lang w:val="ro-RO"/>
        </w:rPr>
      </w:pPr>
      <w:r w:rsidRPr="0034417C">
        <w:rPr>
          <w:b/>
          <w:noProof/>
          <w:lang w:val="ro-RO" w:eastAsia="ro-RO"/>
        </w:rPr>
        <w:drawing>
          <wp:inline distT="0" distB="0" distL="0" distR="0" wp14:anchorId="79E8FB67" wp14:editId="7A01A67C">
            <wp:extent cx="4690204" cy="1576567"/>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743029" cy="1594324"/>
                    </a:xfrm>
                    <a:prstGeom prst="rect">
                      <a:avLst/>
                    </a:prstGeom>
                  </pic:spPr>
                </pic:pic>
              </a:graphicData>
            </a:graphic>
          </wp:inline>
        </w:drawing>
      </w:r>
    </w:p>
    <w:p w:rsidR="0034417C" w:rsidRPr="0034417C" w:rsidRDefault="00646C65" w:rsidP="00015C18">
      <w:pPr>
        <w:ind w:firstLine="0"/>
        <w:jc w:val="center"/>
        <w:rPr>
          <w:lang w:val="ro-RO"/>
        </w:rPr>
      </w:pPr>
      <w:r>
        <w:rPr>
          <w:i/>
          <w:lang w:val="ro-RO"/>
        </w:rPr>
        <w:t>Source</w:t>
      </w:r>
      <w:r w:rsidR="0034417C" w:rsidRPr="0034417C">
        <w:rPr>
          <w:i/>
          <w:lang w:val="ro-RO"/>
        </w:rPr>
        <w:t>:</w:t>
      </w:r>
      <w:r>
        <w:rPr>
          <w:lang w:val="ro-RO"/>
        </w:rPr>
        <w:t xml:space="preserve"> own processing</w:t>
      </w:r>
    </w:p>
    <w:p w:rsidR="0034417C" w:rsidRPr="0034417C" w:rsidRDefault="0034417C" w:rsidP="00015C18">
      <w:pPr>
        <w:ind w:firstLine="0"/>
        <w:jc w:val="center"/>
        <w:rPr>
          <w:rFonts w:eastAsiaTheme="minorEastAsia"/>
          <w:lang w:val="ro-RO"/>
        </w:rPr>
      </w:pPr>
      <w:r w:rsidRPr="0034417C">
        <w:rPr>
          <w:rFonts w:eastAsiaTheme="minorEastAsia"/>
          <w:noProof/>
          <w:lang w:val="ro-RO" w:eastAsia="ro-RO"/>
        </w:rPr>
        <w:lastRenderedPageBreak/>
        <w:drawing>
          <wp:inline distT="0" distB="0" distL="0" distR="0" wp14:anchorId="2C5CDDDB" wp14:editId="01B7E950">
            <wp:extent cx="4226585" cy="2501900"/>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237164" cy="2508162"/>
                    </a:xfrm>
                    <a:prstGeom prst="rect">
                      <a:avLst/>
                    </a:prstGeom>
                  </pic:spPr>
                </pic:pic>
              </a:graphicData>
            </a:graphic>
          </wp:inline>
        </w:drawing>
      </w:r>
    </w:p>
    <w:p w:rsidR="0034417C" w:rsidRPr="0034417C" w:rsidRDefault="00646C65" w:rsidP="00015C18">
      <w:pPr>
        <w:ind w:firstLine="0"/>
        <w:jc w:val="center"/>
        <w:rPr>
          <w:b/>
          <w:lang w:val="ro-RO"/>
        </w:rPr>
      </w:pPr>
      <w:r>
        <w:rPr>
          <w:i/>
          <w:lang w:val="ro-RO"/>
        </w:rPr>
        <w:t>Figure</w:t>
      </w:r>
      <w:r w:rsidR="0034417C">
        <w:rPr>
          <w:i/>
          <w:lang w:val="ro-RO"/>
        </w:rPr>
        <w:t xml:space="preserve"> 7</w:t>
      </w:r>
      <w:r w:rsidR="0034417C" w:rsidRPr="0034417C">
        <w:rPr>
          <w:i/>
          <w:lang w:val="ro-RO"/>
        </w:rPr>
        <w:t xml:space="preserve">. </w:t>
      </w:r>
      <w:r w:rsidR="0034417C" w:rsidRPr="0034417C">
        <w:rPr>
          <w:b/>
          <w:lang w:val="ro-RO"/>
        </w:rPr>
        <w:t>Evolu</w:t>
      </w:r>
      <w:r w:rsidR="0038301A">
        <w:rPr>
          <w:b/>
          <w:lang w:val="ro-RO"/>
        </w:rPr>
        <w:t xml:space="preserve">tion of agricultural income situations for 2023 and </w:t>
      </w:r>
      <w:r w:rsidR="0034417C" w:rsidRPr="0034417C">
        <w:rPr>
          <w:b/>
          <w:lang w:val="ro-RO"/>
        </w:rPr>
        <w:t>2024</w:t>
      </w:r>
    </w:p>
    <w:p w:rsidR="0034417C" w:rsidRDefault="00646C65" w:rsidP="00015C18">
      <w:pPr>
        <w:ind w:firstLine="0"/>
        <w:jc w:val="center"/>
        <w:rPr>
          <w:lang w:val="ro-RO"/>
        </w:rPr>
      </w:pPr>
      <w:r>
        <w:rPr>
          <w:i/>
          <w:lang w:val="ro-RO"/>
        </w:rPr>
        <w:t>Source</w:t>
      </w:r>
      <w:r w:rsidR="0034417C" w:rsidRPr="0034417C">
        <w:rPr>
          <w:i/>
          <w:lang w:val="ro-RO"/>
        </w:rPr>
        <w:t>:</w:t>
      </w:r>
      <w:r>
        <w:rPr>
          <w:lang w:val="ro-RO"/>
        </w:rPr>
        <w:t xml:space="preserve"> own processing</w:t>
      </w:r>
    </w:p>
    <w:p w:rsidR="00015C18" w:rsidRDefault="00015C18" w:rsidP="00015C18">
      <w:pPr>
        <w:ind w:firstLine="0"/>
        <w:jc w:val="center"/>
        <w:rPr>
          <w:lang w:val="ro-RO"/>
        </w:rPr>
      </w:pPr>
    </w:p>
    <w:p w:rsidR="00015C18" w:rsidRPr="00015C18" w:rsidRDefault="00015C18" w:rsidP="00646C65">
      <w:pPr>
        <w:ind w:firstLine="0"/>
        <w:rPr>
          <w:lang w:val="ro-RO"/>
        </w:rPr>
      </w:pPr>
      <w:r>
        <w:rPr>
          <w:lang w:val="ro-RO"/>
        </w:rPr>
        <w:tab/>
      </w:r>
      <w:r w:rsidR="00A13D36" w:rsidRPr="00A13D36">
        <w:rPr>
          <w:lang w:val="ro-RO"/>
        </w:rPr>
        <w:t>The case study, based on Table 8 and Figure 7, shows that the income tax on agricultural revenues remains stable, as it is calculated using fixed norms. However, the increase in the minimum wage led to a 720 lei rise in CASS contributions in 2024, raising the total tax burden by 20%. Despite this, the effective tax rate slightly decreased, potentially encouraging investment and expansion of activity.</w:t>
      </w:r>
    </w:p>
    <w:p w:rsidR="00015C18" w:rsidRDefault="0038301A" w:rsidP="00015C18">
      <w:pPr>
        <w:ind w:firstLine="0"/>
        <w:rPr>
          <w:b/>
          <w:lang w:val="ro-RO"/>
        </w:rPr>
      </w:pPr>
      <w:r>
        <w:rPr>
          <w:b/>
          <w:lang w:val="ro-RO"/>
        </w:rPr>
        <w:t>Taxation of income from prizes and gambling</w:t>
      </w:r>
    </w:p>
    <w:p w:rsidR="0034417C" w:rsidRPr="0034417C" w:rsidRDefault="00646C65" w:rsidP="00015C18">
      <w:pPr>
        <w:ind w:firstLine="0"/>
        <w:jc w:val="center"/>
        <w:rPr>
          <w:b/>
          <w:lang w:val="ro-RO"/>
        </w:rPr>
      </w:pPr>
      <w:r>
        <w:rPr>
          <w:i/>
          <w:lang w:val="ro-RO"/>
        </w:rPr>
        <w:t>Table</w:t>
      </w:r>
      <w:r w:rsidR="0034417C" w:rsidRPr="0034417C">
        <w:rPr>
          <w:i/>
          <w:lang w:val="ro-RO"/>
        </w:rPr>
        <w:t xml:space="preserve"> 9. </w:t>
      </w:r>
      <w:r w:rsidR="0034417C" w:rsidRPr="0034417C">
        <w:rPr>
          <w:b/>
          <w:lang w:val="ro-RO"/>
        </w:rPr>
        <w:t>Compar</w:t>
      </w:r>
      <w:r w:rsidR="0038301A">
        <w:rPr>
          <w:b/>
          <w:lang w:val="ro-RO"/>
        </w:rPr>
        <w:t>ison of prize and glambling calculations for 2023 and</w:t>
      </w:r>
      <w:r w:rsidR="0034417C" w:rsidRPr="0034417C">
        <w:rPr>
          <w:b/>
          <w:lang w:val="ro-RO"/>
        </w:rPr>
        <w:t xml:space="preserve"> 2024</w:t>
      </w:r>
    </w:p>
    <w:p w:rsidR="00015C18" w:rsidRDefault="0034417C" w:rsidP="00015C18">
      <w:pPr>
        <w:ind w:firstLine="0"/>
        <w:jc w:val="center"/>
        <w:rPr>
          <w:rFonts w:eastAsiaTheme="minorEastAsia"/>
          <w:lang w:val="ro-RO"/>
        </w:rPr>
      </w:pPr>
      <w:r w:rsidRPr="0034417C">
        <w:rPr>
          <w:rFonts w:eastAsiaTheme="minorEastAsia"/>
          <w:noProof/>
          <w:lang w:val="ro-RO" w:eastAsia="ro-RO"/>
        </w:rPr>
        <w:drawing>
          <wp:inline distT="0" distB="0" distL="0" distR="0" wp14:anchorId="7FFDA57B" wp14:editId="40C2656E">
            <wp:extent cx="4678680" cy="1677042"/>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708643" cy="1687782"/>
                    </a:xfrm>
                    <a:prstGeom prst="rect">
                      <a:avLst/>
                    </a:prstGeom>
                  </pic:spPr>
                </pic:pic>
              </a:graphicData>
            </a:graphic>
          </wp:inline>
        </w:drawing>
      </w:r>
    </w:p>
    <w:p w:rsidR="0034417C" w:rsidRDefault="00646C65" w:rsidP="00015C18">
      <w:pPr>
        <w:ind w:firstLine="0"/>
        <w:jc w:val="center"/>
        <w:rPr>
          <w:lang w:val="ro-RO"/>
        </w:rPr>
      </w:pPr>
      <w:r>
        <w:rPr>
          <w:i/>
          <w:lang w:val="ro-RO"/>
        </w:rPr>
        <w:t>Source</w:t>
      </w:r>
      <w:r w:rsidR="0034417C" w:rsidRPr="0034417C">
        <w:rPr>
          <w:i/>
          <w:lang w:val="ro-RO"/>
        </w:rPr>
        <w:t>:</w:t>
      </w:r>
      <w:r>
        <w:rPr>
          <w:lang w:val="ro-RO"/>
        </w:rPr>
        <w:t xml:space="preserve"> own processing</w:t>
      </w:r>
    </w:p>
    <w:p w:rsidR="00646C65" w:rsidRPr="00015C18" w:rsidRDefault="00646C65" w:rsidP="00015C18">
      <w:pPr>
        <w:ind w:firstLine="0"/>
        <w:jc w:val="center"/>
        <w:rPr>
          <w:rFonts w:eastAsiaTheme="minorEastAsia"/>
          <w:lang w:val="ro-RO"/>
        </w:rPr>
      </w:pPr>
    </w:p>
    <w:p w:rsidR="0034417C" w:rsidRPr="0034417C" w:rsidRDefault="0034417C" w:rsidP="00015C18">
      <w:pPr>
        <w:ind w:firstLine="0"/>
        <w:jc w:val="center"/>
        <w:rPr>
          <w:b/>
          <w:lang w:val="ro-RO"/>
        </w:rPr>
      </w:pPr>
      <w:r w:rsidRPr="0034417C">
        <w:rPr>
          <w:b/>
          <w:noProof/>
          <w:lang w:val="ro-RO" w:eastAsia="ro-RO"/>
        </w:rPr>
        <w:lastRenderedPageBreak/>
        <w:drawing>
          <wp:inline distT="0" distB="0" distL="0" distR="0" wp14:anchorId="7CBA0FA3" wp14:editId="08F6E8E3">
            <wp:extent cx="4005580" cy="2357403"/>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17781" cy="2364584"/>
                    </a:xfrm>
                    <a:prstGeom prst="rect">
                      <a:avLst/>
                    </a:prstGeom>
                  </pic:spPr>
                </pic:pic>
              </a:graphicData>
            </a:graphic>
          </wp:inline>
        </w:drawing>
      </w:r>
    </w:p>
    <w:p w:rsidR="0034417C" w:rsidRPr="0034417C" w:rsidRDefault="00646C65" w:rsidP="00015C18">
      <w:pPr>
        <w:ind w:firstLine="0"/>
        <w:jc w:val="center"/>
        <w:rPr>
          <w:b/>
          <w:lang w:val="ro-RO"/>
        </w:rPr>
      </w:pPr>
      <w:r>
        <w:rPr>
          <w:i/>
          <w:lang w:val="ro-RO"/>
        </w:rPr>
        <w:t>Figure</w:t>
      </w:r>
      <w:r w:rsidR="0034417C">
        <w:rPr>
          <w:i/>
          <w:lang w:val="ro-RO"/>
        </w:rPr>
        <w:t xml:space="preserve"> 8</w:t>
      </w:r>
      <w:r w:rsidR="0034417C" w:rsidRPr="0034417C">
        <w:rPr>
          <w:i/>
          <w:lang w:val="ro-RO"/>
        </w:rPr>
        <w:t xml:space="preserve">. </w:t>
      </w:r>
      <w:r w:rsidR="0034417C" w:rsidRPr="0034417C">
        <w:rPr>
          <w:b/>
          <w:lang w:val="ro-RO"/>
        </w:rPr>
        <w:t>Evolu</w:t>
      </w:r>
      <w:r w:rsidR="0038301A">
        <w:rPr>
          <w:b/>
          <w:lang w:val="ro-RO"/>
        </w:rPr>
        <w:t>tion of prize and glambling income situations for 2023 and</w:t>
      </w:r>
      <w:r w:rsidR="0034417C" w:rsidRPr="0034417C">
        <w:rPr>
          <w:b/>
          <w:lang w:val="ro-RO"/>
        </w:rPr>
        <w:t xml:space="preserve"> 2024</w:t>
      </w:r>
    </w:p>
    <w:p w:rsidR="0034417C" w:rsidRPr="0034417C" w:rsidRDefault="00646C65" w:rsidP="00015C18">
      <w:pPr>
        <w:ind w:firstLine="0"/>
        <w:jc w:val="center"/>
        <w:rPr>
          <w:lang w:val="ro-RO"/>
        </w:rPr>
      </w:pPr>
      <w:r>
        <w:rPr>
          <w:i/>
          <w:lang w:val="ro-RO"/>
        </w:rPr>
        <w:t>Source</w:t>
      </w:r>
      <w:r w:rsidR="0034417C" w:rsidRPr="0034417C">
        <w:rPr>
          <w:i/>
          <w:lang w:val="ro-RO"/>
        </w:rPr>
        <w:t>:</w:t>
      </w:r>
      <w:r>
        <w:rPr>
          <w:lang w:val="ro-RO"/>
        </w:rPr>
        <w:t xml:space="preserve"> own processing</w:t>
      </w:r>
    </w:p>
    <w:p w:rsidR="0034417C" w:rsidRPr="0034417C" w:rsidRDefault="0034417C" w:rsidP="00090421">
      <w:pPr>
        <w:ind w:firstLine="0"/>
        <w:rPr>
          <w:b/>
          <w:lang w:val="ro-RO"/>
        </w:rPr>
      </w:pPr>
    </w:p>
    <w:p w:rsidR="0034417C" w:rsidRPr="0034417C" w:rsidRDefault="00A13D36" w:rsidP="00646C65">
      <w:pPr>
        <w:rPr>
          <w:b/>
          <w:lang w:val="ro-RO"/>
        </w:rPr>
      </w:pPr>
      <w:r w:rsidRPr="00A13D36">
        <w:rPr>
          <w:lang w:val="ro-RO"/>
        </w:rPr>
        <w:t>The case study, based on Table 9 and Figure 8, shows that although income from prizes and gambling increased by 21.9%, taxes rose by over 32% due to higher tax rates introduced in 2024. Large gambling winnings are now significantly more heavily taxed, while prizes are subject to a more lenient regime. The application of CASS up to the threshold of 24 minimum wages limits the impact on very high incomes but still contributes to the overall increase in the tax burden.</w:t>
      </w:r>
    </w:p>
    <w:p w:rsidR="00015C18" w:rsidRDefault="0038301A" w:rsidP="00015C18">
      <w:pPr>
        <w:ind w:firstLine="0"/>
        <w:rPr>
          <w:b/>
          <w:lang w:val="ro-RO"/>
        </w:rPr>
      </w:pPr>
      <w:r>
        <w:rPr>
          <w:b/>
          <w:lang w:val="ro-RO"/>
        </w:rPr>
        <w:t>Taxation of income from other sources</w:t>
      </w:r>
    </w:p>
    <w:p w:rsidR="0034417C" w:rsidRPr="0034417C" w:rsidRDefault="00646C65" w:rsidP="00015C18">
      <w:pPr>
        <w:ind w:firstLine="0"/>
        <w:jc w:val="center"/>
        <w:rPr>
          <w:b/>
          <w:lang w:val="ro-RO"/>
        </w:rPr>
      </w:pPr>
      <w:r>
        <w:rPr>
          <w:i/>
          <w:lang w:val="ro-RO"/>
        </w:rPr>
        <w:t>Table</w:t>
      </w:r>
      <w:r w:rsidR="0034417C" w:rsidRPr="0034417C">
        <w:rPr>
          <w:i/>
          <w:lang w:val="ro-RO"/>
        </w:rPr>
        <w:t xml:space="preserve"> 10. </w:t>
      </w:r>
      <w:r w:rsidR="0034417C" w:rsidRPr="0034417C">
        <w:rPr>
          <w:b/>
          <w:lang w:val="ro-RO"/>
        </w:rPr>
        <w:t>Compar</w:t>
      </w:r>
      <w:r w:rsidR="0038301A">
        <w:rPr>
          <w:b/>
          <w:lang w:val="ro-RO"/>
        </w:rPr>
        <w:t>ison of calculations of other sources from 2023 and</w:t>
      </w:r>
      <w:r w:rsidR="0034417C" w:rsidRPr="0034417C">
        <w:rPr>
          <w:b/>
          <w:lang w:val="ro-RO"/>
        </w:rPr>
        <w:t xml:space="preserve"> 2024</w:t>
      </w:r>
    </w:p>
    <w:p w:rsidR="0034417C" w:rsidRPr="0034417C" w:rsidRDefault="0034417C" w:rsidP="00015C18">
      <w:pPr>
        <w:ind w:firstLine="0"/>
        <w:jc w:val="center"/>
        <w:rPr>
          <w:rFonts w:eastAsiaTheme="minorEastAsia"/>
          <w:lang w:val="ro-RO"/>
        </w:rPr>
      </w:pPr>
      <w:r w:rsidRPr="0034417C">
        <w:rPr>
          <w:rFonts w:eastAsiaTheme="minorEastAsia"/>
          <w:noProof/>
          <w:lang w:val="ro-RO" w:eastAsia="ro-RO"/>
        </w:rPr>
        <w:drawing>
          <wp:inline distT="0" distB="0" distL="0" distR="0" wp14:anchorId="3466DD7C" wp14:editId="694BB8EF">
            <wp:extent cx="4462780" cy="1461017"/>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93850" cy="1471189"/>
                    </a:xfrm>
                    <a:prstGeom prst="rect">
                      <a:avLst/>
                    </a:prstGeom>
                  </pic:spPr>
                </pic:pic>
              </a:graphicData>
            </a:graphic>
          </wp:inline>
        </w:drawing>
      </w:r>
    </w:p>
    <w:p w:rsidR="0034417C" w:rsidRDefault="00646C65" w:rsidP="00015C18">
      <w:pPr>
        <w:ind w:firstLine="0"/>
        <w:jc w:val="center"/>
        <w:rPr>
          <w:lang w:val="ro-RO"/>
        </w:rPr>
      </w:pPr>
      <w:r>
        <w:rPr>
          <w:i/>
          <w:lang w:val="ro-RO"/>
        </w:rPr>
        <w:t>Source</w:t>
      </w:r>
      <w:r w:rsidR="0034417C" w:rsidRPr="0034417C">
        <w:rPr>
          <w:i/>
          <w:lang w:val="ro-RO"/>
        </w:rPr>
        <w:t>:</w:t>
      </w:r>
      <w:r>
        <w:rPr>
          <w:lang w:val="ro-RO"/>
        </w:rPr>
        <w:t xml:space="preserve"> own processing</w:t>
      </w:r>
    </w:p>
    <w:p w:rsidR="00646C65" w:rsidRPr="0034417C" w:rsidRDefault="00646C65" w:rsidP="00015C18">
      <w:pPr>
        <w:ind w:firstLine="0"/>
        <w:jc w:val="center"/>
        <w:rPr>
          <w:lang w:val="ro-RO"/>
        </w:rPr>
      </w:pPr>
    </w:p>
    <w:p w:rsidR="0034417C" w:rsidRPr="0034417C" w:rsidRDefault="0034417C" w:rsidP="00015C18">
      <w:pPr>
        <w:ind w:firstLine="0"/>
        <w:jc w:val="center"/>
        <w:rPr>
          <w:b/>
          <w:lang w:val="ro-RO"/>
        </w:rPr>
      </w:pPr>
      <w:r w:rsidRPr="0034417C">
        <w:rPr>
          <w:b/>
          <w:noProof/>
          <w:lang w:val="ro-RO" w:eastAsia="ro-RO"/>
        </w:rPr>
        <w:lastRenderedPageBreak/>
        <w:drawing>
          <wp:inline distT="0" distB="0" distL="0" distR="0" wp14:anchorId="19028F54" wp14:editId="12414F94">
            <wp:extent cx="4215130" cy="252245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228017" cy="2530171"/>
                    </a:xfrm>
                    <a:prstGeom prst="rect">
                      <a:avLst/>
                    </a:prstGeom>
                  </pic:spPr>
                </pic:pic>
              </a:graphicData>
            </a:graphic>
          </wp:inline>
        </w:drawing>
      </w:r>
    </w:p>
    <w:p w:rsidR="0034417C" w:rsidRPr="0034417C" w:rsidRDefault="00646C65" w:rsidP="00015C18">
      <w:pPr>
        <w:ind w:firstLine="0"/>
        <w:jc w:val="center"/>
        <w:rPr>
          <w:b/>
          <w:lang w:val="ro-RO"/>
        </w:rPr>
      </w:pPr>
      <w:r>
        <w:rPr>
          <w:i/>
          <w:lang w:val="ro-RO"/>
        </w:rPr>
        <w:t>Figure</w:t>
      </w:r>
      <w:r w:rsidR="0034417C">
        <w:rPr>
          <w:i/>
          <w:lang w:val="ro-RO"/>
        </w:rPr>
        <w:t xml:space="preserve"> 9</w:t>
      </w:r>
      <w:r w:rsidR="0034417C" w:rsidRPr="0034417C">
        <w:rPr>
          <w:i/>
          <w:lang w:val="ro-RO"/>
        </w:rPr>
        <w:t xml:space="preserve">. </w:t>
      </w:r>
      <w:r w:rsidR="0034417C" w:rsidRPr="0034417C">
        <w:rPr>
          <w:b/>
          <w:lang w:val="ro-RO"/>
        </w:rPr>
        <w:t>Evolu</w:t>
      </w:r>
      <w:r w:rsidR="0038301A">
        <w:rPr>
          <w:b/>
          <w:lang w:val="ro-RO"/>
        </w:rPr>
        <w:t xml:space="preserve">tion of income situations from other sources for 2023 and </w:t>
      </w:r>
      <w:r w:rsidR="0034417C" w:rsidRPr="0034417C">
        <w:rPr>
          <w:b/>
          <w:lang w:val="ro-RO"/>
        </w:rPr>
        <w:t>2024</w:t>
      </w:r>
    </w:p>
    <w:p w:rsidR="0034417C" w:rsidRDefault="00646C65" w:rsidP="00015C18">
      <w:pPr>
        <w:ind w:firstLine="0"/>
        <w:jc w:val="center"/>
        <w:rPr>
          <w:lang w:val="ro-RO"/>
        </w:rPr>
      </w:pPr>
      <w:r>
        <w:rPr>
          <w:i/>
          <w:lang w:val="ro-RO"/>
        </w:rPr>
        <w:t>Source</w:t>
      </w:r>
      <w:r w:rsidR="0034417C" w:rsidRPr="0034417C">
        <w:rPr>
          <w:i/>
          <w:lang w:val="ro-RO"/>
        </w:rPr>
        <w:t>:</w:t>
      </w:r>
      <w:r>
        <w:rPr>
          <w:lang w:val="ro-RO"/>
        </w:rPr>
        <w:t xml:space="preserve"> own processing</w:t>
      </w:r>
    </w:p>
    <w:p w:rsidR="00015C18" w:rsidRPr="0034417C" w:rsidRDefault="00015C18" w:rsidP="00015C18">
      <w:pPr>
        <w:ind w:firstLine="0"/>
        <w:jc w:val="center"/>
        <w:rPr>
          <w:lang w:val="ro-RO"/>
        </w:rPr>
      </w:pPr>
    </w:p>
    <w:p w:rsidR="00090421" w:rsidRPr="00015C18" w:rsidRDefault="00A13D36" w:rsidP="00015C18">
      <w:pPr>
        <w:rPr>
          <w:b/>
          <w:lang w:val="ro-RO"/>
        </w:rPr>
      </w:pPr>
      <w:r w:rsidRPr="00A13D36">
        <w:rPr>
          <w:lang w:val="ro-RO"/>
        </w:rPr>
        <w:t>The case study, based on Table 10 and Figure 9, shows that although gross income from other sources increased by 77.8%, taxes doubled in 2024 due to the application of the CASS cap at 24 minimum wages. The 10% income tax rate remained unchanged, with the increase in taxation stemming mainly from CASS. The effective tax rate rose by nearly 6 percentage points, highlighting a clear trend toward stricter taxation of occasional income.</w:t>
      </w:r>
    </w:p>
    <w:p w:rsidR="004E20B9" w:rsidRPr="00452AC6" w:rsidRDefault="00646C65" w:rsidP="007D07C5">
      <w:pPr>
        <w:pStyle w:val="Heading2"/>
        <w:rPr>
          <w:lang w:val="ro-RO"/>
        </w:rPr>
      </w:pPr>
      <w:r>
        <w:rPr>
          <w:lang w:val="ro-RO"/>
        </w:rPr>
        <w:t>Conclusions</w:t>
      </w:r>
    </w:p>
    <w:p w:rsidR="00D8752B" w:rsidRDefault="00A13D36" w:rsidP="00D8752B">
      <w:pPr>
        <w:rPr>
          <w:noProof/>
          <w:lang w:val="ro-RO"/>
        </w:rPr>
      </w:pPr>
      <w:r w:rsidRPr="00A13D36">
        <w:rPr>
          <w:noProof/>
          <w:lang w:val="ro-RO"/>
        </w:rPr>
        <w:t>The income tax on individuals remains a key component of Romania’s fiscal system, contributing significantly to the public budget. The analysis of the 2023–2025 period shows a slight increase in revenues collected, supported by tax reforms, digitalization, and salary growth. However, the case studies reveal an unequal fiscal impact acro</w:t>
      </w:r>
      <w:r w:rsidR="00D8752B">
        <w:rPr>
          <w:noProof/>
          <w:lang w:val="ro-RO"/>
        </w:rPr>
        <w:t>ss different income categories.</w:t>
      </w:r>
    </w:p>
    <w:p w:rsidR="00D8752B" w:rsidRDefault="00A13D36" w:rsidP="00D8752B">
      <w:pPr>
        <w:rPr>
          <w:noProof/>
          <w:lang w:val="ro-RO"/>
        </w:rPr>
      </w:pPr>
      <w:r w:rsidRPr="00A13D36">
        <w:rPr>
          <w:noProof/>
          <w:lang w:val="ro-RO"/>
        </w:rPr>
        <w:t xml:space="preserve">For employees and self-employed individuals, the elimination of tax incentives and increased contributions have resulted in a much heavier tax burden, affecting disposable income and competitiveness in certain sectors, such as IT. For passive income (rent, prizes, other sources), the application of the CASS cap and higher tax rates have significantly increased taxation, contradicting the perception of low fiscal pressure. In contrast, investment income has benefited from tax relief, while agricultural income taxation has remained relatively stable. These differences highlight the need for a more balanced system, with clear rules and proportional </w:t>
      </w:r>
      <w:r w:rsidR="00D8752B">
        <w:rPr>
          <w:noProof/>
          <w:lang w:val="ro-RO"/>
        </w:rPr>
        <w:t>tax treatment.</w:t>
      </w:r>
    </w:p>
    <w:p w:rsidR="00725B38" w:rsidRDefault="00A13D36" w:rsidP="00D8752B">
      <w:pPr>
        <w:rPr>
          <w:noProof/>
          <w:lang w:val="ro-RO"/>
        </w:rPr>
      </w:pPr>
      <w:r w:rsidRPr="00A13D36">
        <w:rPr>
          <w:noProof/>
          <w:lang w:val="ro-RO"/>
        </w:rPr>
        <w:t>In conclusion, the current system requires structural adjustments to ensure equity across income types, maintain fiscal sustainability, and support economic development without discouraging active taxpayers.</w:t>
      </w:r>
    </w:p>
    <w:p w:rsidR="0067669A" w:rsidRDefault="0067669A" w:rsidP="007D07C5">
      <w:pPr>
        <w:rPr>
          <w:noProof/>
          <w:lang w:val="ro-RO"/>
        </w:rPr>
      </w:pPr>
    </w:p>
    <w:p w:rsidR="0067669A" w:rsidRDefault="0067669A" w:rsidP="007D07C5">
      <w:pPr>
        <w:rPr>
          <w:noProof/>
          <w:lang w:val="ro-RO"/>
        </w:rPr>
      </w:pPr>
    </w:p>
    <w:p w:rsidR="0067669A" w:rsidRDefault="0067669A" w:rsidP="007D07C5">
      <w:pPr>
        <w:rPr>
          <w:noProof/>
          <w:lang w:val="ro-RO"/>
        </w:rPr>
      </w:pPr>
    </w:p>
    <w:p w:rsidR="0067669A" w:rsidRDefault="0067669A" w:rsidP="007D07C5">
      <w:pPr>
        <w:rPr>
          <w:noProof/>
          <w:lang w:val="ro-RO"/>
        </w:rPr>
      </w:pPr>
    </w:p>
    <w:p w:rsidR="0067669A" w:rsidRDefault="0067669A" w:rsidP="007D07C5">
      <w:pPr>
        <w:rPr>
          <w:noProof/>
          <w:lang w:val="ro-RO"/>
        </w:rPr>
      </w:pPr>
    </w:p>
    <w:sdt>
      <w:sdtPr>
        <w:rPr>
          <w:rFonts w:ascii="Georgia Pro" w:eastAsiaTheme="minorHAnsi" w:hAnsi="Georgia Pro" w:cstheme="minorBidi"/>
          <w:b w:val="0"/>
          <w:sz w:val="22"/>
          <w:szCs w:val="22"/>
        </w:rPr>
        <w:id w:val="1410812776"/>
        <w:docPartObj>
          <w:docPartGallery w:val="Bibliographies"/>
          <w:docPartUnique/>
        </w:docPartObj>
      </w:sdtPr>
      <w:sdtContent>
        <w:p w:rsidR="00A36FB0" w:rsidRPr="0067669A" w:rsidRDefault="00646C65" w:rsidP="00A36FB0">
          <w:pPr>
            <w:pStyle w:val="Heading1"/>
            <w:jc w:val="both"/>
            <w:rPr>
              <w:lang w:val="ro-RO"/>
            </w:rPr>
          </w:pPr>
          <w:r>
            <w:rPr>
              <w:lang w:val="ro-RO"/>
            </w:rPr>
            <w:t>Bibliography</w:t>
          </w:r>
        </w:p>
        <w:p w:rsidR="0067669A" w:rsidRDefault="0067669A" w:rsidP="00713F7A">
          <w:pPr>
            <w:rPr>
              <w:rFonts w:asciiTheme="minorHAnsi" w:hAnsiTheme="minorHAnsi"/>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62"/>
            <w:gridCol w:w="8584"/>
          </w:tblGrid>
          <w:tr w:rsidR="0067669A" w:rsidTr="0067669A">
            <w:trPr>
              <w:divId w:val="1075736917"/>
              <w:tblCellSpacing w:w="15" w:type="dxa"/>
            </w:trPr>
            <w:tc>
              <w:tcPr>
                <w:tcW w:w="573" w:type="pct"/>
                <w:hideMark/>
              </w:tcPr>
              <w:p w:rsidR="0067669A" w:rsidRDefault="0067669A">
                <w:pPr>
                  <w:pStyle w:val="Bibliography"/>
                  <w:rPr>
                    <w:noProof/>
                    <w:sz w:val="24"/>
                    <w:szCs w:val="24"/>
                  </w:rPr>
                </w:pPr>
                <w:r>
                  <w:rPr>
                    <w:noProof/>
                  </w:rPr>
                  <w:t xml:space="preserve">[1] </w:t>
                </w:r>
              </w:p>
            </w:tc>
            <w:tc>
              <w:tcPr>
                <w:tcW w:w="0" w:type="auto"/>
                <w:hideMark/>
              </w:tcPr>
              <w:p w:rsidR="0067669A" w:rsidRDefault="0067669A">
                <w:pPr>
                  <w:pStyle w:val="Bibliography"/>
                  <w:rPr>
                    <w:noProof/>
                  </w:rPr>
                </w:pPr>
                <w:r>
                  <w:rPr>
                    <w:noProof/>
                  </w:rPr>
                  <w:t xml:space="preserve">P. Adriana Florina, P. Mirela and C. Radu, Fiscalitate, București: Editura CECCAR, 2025. </w:t>
                </w:r>
              </w:p>
            </w:tc>
          </w:tr>
          <w:tr w:rsidR="0067669A" w:rsidTr="0067669A">
            <w:trPr>
              <w:divId w:val="1075736917"/>
              <w:tblCellSpacing w:w="15" w:type="dxa"/>
            </w:trPr>
            <w:tc>
              <w:tcPr>
                <w:tcW w:w="573" w:type="pct"/>
                <w:hideMark/>
              </w:tcPr>
              <w:p w:rsidR="0067669A" w:rsidRDefault="0067669A">
                <w:pPr>
                  <w:pStyle w:val="Bibliography"/>
                  <w:rPr>
                    <w:noProof/>
                  </w:rPr>
                </w:pPr>
                <w:r>
                  <w:rPr>
                    <w:noProof/>
                  </w:rPr>
                  <w:t xml:space="preserve">[2] </w:t>
                </w:r>
              </w:p>
            </w:tc>
            <w:tc>
              <w:tcPr>
                <w:tcW w:w="0" w:type="auto"/>
                <w:hideMark/>
              </w:tcPr>
              <w:p w:rsidR="0067669A" w:rsidRDefault="0067669A">
                <w:pPr>
                  <w:pStyle w:val="Bibliography"/>
                  <w:rPr>
                    <w:noProof/>
                  </w:rPr>
                </w:pPr>
                <w:r>
                  <w:rPr>
                    <w:noProof/>
                  </w:rPr>
                  <w:t xml:space="preserve">B. Corina, "The contribution of perfonal income tax to the formation of public financial resources," 2024. </w:t>
                </w:r>
              </w:p>
            </w:tc>
          </w:tr>
          <w:tr w:rsidR="0067669A" w:rsidRPr="00B65BF0" w:rsidTr="0067669A">
            <w:trPr>
              <w:divId w:val="1075736917"/>
              <w:tblCellSpacing w:w="15" w:type="dxa"/>
            </w:trPr>
            <w:tc>
              <w:tcPr>
                <w:tcW w:w="573" w:type="pct"/>
                <w:hideMark/>
              </w:tcPr>
              <w:p w:rsidR="0067669A" w:rsidRDefault="0067669A">
                <w:pPr>
                  <w:pStyle w:val="Bibliography"/>
                  <w:rPr>
                    <w:noProof/>
                  </w:rPr>
                </w:pPr>
                <w:r>
                  <w:rPr>
                    <w:noProof/>
                  </w:rPr>
                  <w:t xml:space="preserve">[3] </w:t>
                </w:r>
              </w:p>
            </w:tc>
            <w:tc>
              <w:tcPr>
                <w:tcW w:w="0" w:type="auto"/>
                <w:hideMark/>
              </w:tcPr>
              <w:p w:rsidR="0067669A" w:rsidRPr="0067669A" w:rsidRDefault="0067669A">
                <w:pPr>
                  <w:pStyle w:val="Bibliography"/>
                  <w:rPr>
                    <w:noProof/>
                    <w:lang w:val="fr-FR"/>
                  </w:rPr>
                </w:pPr>
                <w:r>
                  <w:rPr>
                    <w:noProof/>
                  </w:rPr>
                  <w:t xml:space="preserve">A. N. A. Fiscală, 2024. [Online]. </w:t>
                </w:r>
                <w:r w:rsidRPr="0067669A">
                  <w:rPr>
                    <w:noProof/>
                    <w:lang w:val="fr-FR"/>
                  </w:rPr>
                  <w:t>Available: https://www.anaf.ro. [Accessed 20 mai 2025].</w:t>
                </w:r>
              </w:p>
            </w:tc>
          </w:tr>
          <w:tr w:rsidR="0067669A" w:rsidTr="0067669A">
            <w:trPr>
              <w:divId w:val="1075736917"/>
              <w:tblCellSpacing w:w="15" w:type="dxa"/>
            </w:trPr>
            <w:tc>
              <w:tcPr>
                <w:tcW w:w="573" w:type="pct"/>
                <w:hideMark/>
              </w:tcPr>
              <w:p w:rsidR="0067669A" w:rsidRDefault="0067669A">
                <w:pPr>
                  <w:pStyle w:val="Bibliography"/>
                  <w:rPr>
                    <w:noProof/>
                  </w:rPr>
                </w:pPr>
                <w:r>
                  <w:rPr>
                    <w:noProof/>
                  </w:rPr>
                  <w:t xml:space="preserve">[4] </w:t>
                </w:r>
              </w:p>
            </w:tc>
            <w:tc>
              <w:tcPr>
                <w:tcW w:w="0" w:type="auto"/>
                <w:hideMark/>
              </w:tcPr>
              <w:p w:rsidR="0067669A" w:rsidRDefault="0067669A">
                <w:pPr>
                  <w:pStyle w:val="Bibliography"/>
                  <w:rPr>
                    <w:noProof/>
                  </w:rPr>
                </w:pPr>
                <w:r>
                  <w:rPr>
                    <w:noProof/>
                  </w:rPr>
                  <w:t xml:space="preserve">M. Tatiana, C. Emilia, Ț. Luciana, T. Roxana, P. Alice Ileana, C. Delia, A. Gyorgy, S. Andreea, B. Iulian and M. Emilian, Finanțe publice, București: Editura Universală, 2008. </w:t>
                </w:r>
              </w:p>
            </w:tc>
          </w:tr>
          <w:tr w:rsidR="0067669A" w:rsidTr="0067669A">
            <w:trPr>
              <w:divId w:val="1075736917"/>
              <w:tblCellSpacing w:w="15" w:type="dxa"/>
            </w:trPr>
            <w:tc>
              <w:tcPr>
                <w:tcW w:w="573" w:type="pct"/>
                <w:hideMark/>
              </w:tcPr>
              <w:p w:rsidR="0067669A" w:rsidRDefault="0067669A">
                <w:pPr>
                  <w:pStyle w:val="Bibliography"/>
                  <w:rPr>
                    <w:noProof/>
                  </w:rPr>
                </w:pPr>
                <w:r>
                  <w:rPr>
                    <w:noProof/>
                  </w:rPr>
                  <w:t xml:space="preserve">[5] </w:t>
                </w:r>
              </w:p>
            </w:tc>
            <w:tc>
              <w:tcPr>
                <w:tcW w:w="0" w:type="auto"/>
                <w:hideMark/>
              </w:tcPr>
              <w:p w:rsidR="0067669A" w:rsidRDefault="0067669A">
                <w:pPr>
                  <w:pStyle w:val="Bibliography"/>
                  <w:rPr>
                    <w:noProof/>
                  </w:rPr>
                </w:pPr>
                <w:r>
                  <w:rPr>
                    <w:noProof/>
                  </w:rPr>
                  <w:t>I. N. Statistică, "Buletin statistic trimestrial," 2024. [Online]. Available: https://insse.ro. [Accessed 25 mai 2025].</w:t>
                </w:r>
              </w:p>
            </w:tc>
          </w:tr>
          <w:tr w:rsidR="0067669A" w:rsidTr="0067669A">
            <w:trPr>
              <w:divId w:val="1075736917"/>
              <w:tblCellSpacing w:w="15" w:type="dxa"/>
            </w:trPr>
            <w:tc>
              <w:tcPr>
                <w:tcW w:w="573" w:type="pct"/>
                <w:hideMark/>
              </w:tcPr>
              <w:p w:rsidR="0067669A" w:rsidRDefault="0067669A">
                <w:pPr>
                  <w:pStyle w:val="Bibliography"/>
                  <w:rPr>
                    <w:noProof/>
                  </w:rPr>
                </w:pPr>
                <w:r>
                  <w:rPr>
                    <w:noProof/>
                  </w:rPr>
                  <w:t xml:space="preserve">[6] </w:t>
                </w:r>
              </w:p>
            </w:tc>
            <w:tc>
              <w:tcPr>
                <w:tcW w:w="0" w:type="auto"/>
                <w:hideMark/>
              </w:tcPr>
              <w:p w:rsidR="0067669A" w:rsidRDefault="0067669A">
                <w:pPr>
                  <w:pStyle w:val="Bibliography"/>
                  <w:rPr>
                    <w:noProof/>
                  </w:rPr>
                </w:pPr>
                <w:r>
                  <w:rPr>
                    <w:noProof/>
                  </w:rPr>
                  <w:t xml:space="preserve">T. A, "Analiza reglementării veniturilor impozabile ale persoanelor fizice," 2024. </w:t>
                </w:r>
              </w:p>
            </w:tc>
          </w:tr>
          <w:tr w:rsidR="0067669A" w:rsidTr="0067669A">
            <w:trPr>
              <w:divId w:val="1075736917"/>
              <w:tblCellSpacing w:w="15" w:type="dxa"/>
            </w:trPr>
            <w:tc>
              <w:tcPr>
                <w:tcW w:w="573" w:type="pct"/>
                <w:hideMark/>
              </w:tcPr>
              <w:p w:rsidR="0067669A" w:rsidRDefault="0067669A">
                <w:pPr>
                  <w:pStyle w:val="Bibliography"/>
                  <w:rPr>
                    <w:noProof/>
                  </w:rPr>
                </w:pPr>
                <w:r>
                  <w:rPr>
                    <w:noProof/>
                  </w:rPr>
                  <w:t xml:space="preserve">[7] </w:t>
                </w:r>
              </w:p>
            </w:tc>
            <w:tc>
              <w:tcPr>
                <w:tcW w:w="0" w:type="auto"/>
                <w:hideMark/>
              </w:tcPr>
              <w:p w:rsidR="0067669A" w:rsidRDefault="0067669A">
                <w:pPr>
                  <w:pStyle w:val="Bibliography"/>
                  <w:rPr>
                    <w:noProof/>
                  </w:rPr>
                </w:pPr>
                <w:r>
                  <w:rPr>
                    <w:noProof/>
                  </w:rPr>
                  <w:t xml:space="preserve">Eugen Nicolăescu and C. Sorin Adrian, Fiscalitate, București: Editura Pro Universitaria, 2018. </w:t>
                </w:r>
              </w:p>
            </w:tc>
          </w:tr>
          <w:tr w:rsidR="0067669A" w:rsidRPr="00B65BF0" w:rsidTr="0067669A">
            <w:trPr>
              <w:divId w:val="1075736917"/>
              <w:tblCellSpacing w:w="15" w:type="dxa"/>
            </w:trPr>
            <w:tc>
              <w:tcPr>
                <w:tcW w:w="573" w:type="pct"/>
                <w:hideMark/>
              </w:tcPr>
              <w:p w:rsidR="0067669A" w:rsidRDefault="0067669A">
                <w:pPr>
                  <w:pStyle w:val="Bibliography"/>
                  <w:rPr>
                    <w:noProof/>
                  </w:rPr>
                </w:pPr>
                <w:r>
                  <w:rPr>
                    <w:noProof/>
                  </w:rPr>
                  <w:t xml:space="preserve">[8] </w:t>
                </w:r>
              </w:p>
            </w:tc>
            <w:tc>
              <w:tcPr>
                <w:tcW w:w="0" w:type="auto"/>
                <w:hideMark/>
              </w:tcPr>
              <w:p w:rsidR="0067669A" w:rsidRPr="0067669A" w:rsidRDefault="0067669A">
                <w:pPr>
                  <w:pStyle w:val="Bibliography"/>
                  <w:rPr>
                    <w:noProof/>
                    <w:lang w:val="fr-FR"/>
                  </w:rPr>
                </w:pPr>
                <w:r w:rsidRPr="0067669A">
                  <w:rPr>
                    <w:noProof/>
                    <w:lang w:val="fr-FR"/>
                  </w:rPr>
                  <w:t xml:space="preserve">M. Simona-Gabriela, Coordonare fiscală. Suport de curs, Cluj-Napoca, 2020. </w:t>
                </w:r>
              </w:p>
            </w:tc>
          </w:tr>
          <w:tr w:rsidR="0067669A" w:rsidTr="0067669A">
            <w:trPr>
              <w:divId w:val="1075736917"/>
              <w:tblCellSpacing w:w="15" w:type="dxa"/>
            </w:trPr>
            <w:tc>
              <w:tcPr>
                <w:tcW w:w="573" w:type="pct"/>
                <w:hideMark/>
              </w:tcPr>
              <w:p w:rsidR="0067669A" w:rsidRDefault="0067669A">
                <w:pPr>
                  <w:pStyle w:val="Bibliography"/>
                  <w:rPr>
                    <w:noProof/>
                  </w:rPr>
                </w:pPr>
                <w:r>
                  <w:rPr>
                    <w:noProof/>
                  </w:rPr>
                  <w:t xml:space="preserve">[9] </w:t>
                </w:r>
              </w:p>
            </w:tc>
            <w:tc>
              <w:tcPr>
                <w:tcW w:w="0" w:type="auto"/>
                <w:hideMark/>
              </w:tcPr>
              <w:p w:rsidR="0067669A" w:rsidRDefault="0067669A">
                <w:pPr>
                  <w:pStyle w:val="Bibliography"/>
                  <w:rPr>
                    <w:noProof/>
                  </w:rPr>
                </w:pPr>
                <w:r>
                  <w:rPr>
                    <w:noProof/>
                  </w:rPr>
                  <w:t xml:space="preserve">P. C. M., "Aspecte privind impozitarea veniturilor persoanelor fizice.," Arad, 2011. </w:t>
                </w:r>
              </w:p>
            </w:tc>
          </w:tr>
          <w:tr w:rsidR="0067669A" w:rsidTr="0067669A">
            <w:trPr>
              <w:divId w:val="1075736917"/>
              <w:tblCellSpacing w:w="15" w:type="dxa"/>
            </w:trPr>
            <w:tc>
              <w:tcPr>
                <w:tcW w:w="573" w:type="pct"/>
                <w:hideMark/>
              </w:tcPr>
              <w:p w:rsidR="0067669A" w:rsidRDefault="0067669A">
                <w:pPr>
                  <w:pStyle w:val="Bibliography"/>
                  <w:rPr>
                    <w:noProof/>
                  </w:rPr>
                </w:pPr>
                <w:r>
                  <w:rPr>
                    <w:noProof/>
                  </w:rPr>
                  <w:t xml:space="preserve">[10] </w:t>
                </w:r>
              </w:p>
            </w:tc>
            <w:tc>
              <w:tcPr>
                <w:tcW w:w="0" w:type="auto"/>
                <w:hideMark/>
              </w:tcPr>
              <w:p w:rsidR="0067669A" w:rsidRDefault="0067669A">
                <w:pPr>
                  <w:pStyle w:val="Bibliography"/>
                  <w:rPr>
                    <w:noProof/>
                  </w:rPr>
                </w:pPr>
                <w:r>
                  <w:rPr>
                    <w:noProof/>
                  </w:rPr>
                  <w:t xml:space="preserve">V. Roman and L. Liliana, "Aspecte ale impozitului pe venit al subiecților ce desfășoară activități independente," in </w:t>
                </w:r>
                <w:r>
                  <w:rPr>
                    <w:i/>
                    <w:iCs/>
                    <w:noProof/>
                  </w:rPr>
                  <w:t>International Scientific Conference on Accounting</w:t>
                </w:r>
                <w:r>
                  <w:rPr>
                    <w:noProof/>
                  </w:rPr>
                  <w:t xml:space="preserve">, 2024. </w:t>
                </w:r>
              </w:p>
            </w:tc>
          </w:tr>
        </w:tbl>
        <w:p w:rsidR="0067669A" w:rsidRDefault="0067669A">
          <w:pPr>
            <w:divId w:val="1075736917"/>
            <w:rPr>
              <w:rFonts w:eastAsia="Times New Roman"/>
              <w:noProof/>
            </w:rPr>
          </w:pPr>
        </w:p>
        <w:p w:rsidR="00AE0D7F" w:rsidRDefault="00CC5E5C" w:rsidP="00713F7A"/>
      </w:sdtContent>
    </w:sdt>
    <w:p w:rsidR="00AE0D7F" w:rsidRPr="00AE0D7F" w:rsidRDefault="00AE0D7F" w:rsidP="009D0FE7">
      <w:pPr>
        <w:ind w:firstLine="0"/>
        <w:rPr>
          <w:lang w:val="ro-RO"/>
        </w:rPr>
      </w:pPr>
    </w:p>
    <w:p w:rsidR="00BB60A1" w:rsidRPr="00AE0D7F" w:rsidRDefault="00BB60A1" w:rsidP="0067669A">
      <w:pPr>
        <w:ind w:firstLine="0"/>
        <w:rPr>
          <w:lang w:val="ro-RO"/>
        </w:rPr>
      </w:pPr>
    </w:p>
    <w:sectPr w:rsidR="00BB60A1" w:rsidRPr="00AE0D7F"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B9" w:rsidRDefault="008856B9" w:rsidP="00E3005B">
      <w:pPr>
        <w:spacing w:line="240" w:lineRule="auto"/>
      </w:pPr>
      <w:r>
        <w:separator/>
      </w:r>
    </w:p>
  </w:endnote>
  <w:endnote w:type="continuationSeparator" w:id="0">
    <w:p w:rsidR="008856B9" w:rsidRDefault="008856B9"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Pro">
    <w:altName w:val="Times New Roman"/>
    <w:charset w:val="00"/>
    <w:family w:val="roman"/>
    <w:pitch w:val="variable"/>
    <w:sig w:usb0="00000001" w:usb1="00000003" w:usb2="00000000" w:usb3="00000000" w:csb0="0000009F" w:csb1="00000000"/>
  </w:font>
  <w:font w:name="Georgia Pro Black">
    <w:altName w:val="Times New Roman"/>
    <w:charset w:val="00"/>
    <w:family w:val="roman"/>
    <w:pitch w:val="variable"/>
    <w:sig w:usb0="00000001" w:usb1="00000003" w:usb2="00000000" w:usb3="00000000" w:csb0="0000009F" w:csb1="00000000"/>
  </w:font>
  <w:font w:name="Georgia Pro Semibold">
    <w:altName w:val="Times New Roman"/>
    <w:charset w:val="00"/>
    <w:family w:val="roman"/>
    <w:pitch w:val="variable"/>
    <w:sig w:usb0="00000001" w:usb1="00000003" w:usb2="00000000" w:usb3="00000000" w:csb0="0000009F" w:csb1="00000000"/>
  </w:font>
  <w:font w:name="Georgia Pro Cond Light">
    <w:altName w:val="Times New Roman"/>
    <w:charset w:val="00"/>
    <w:family w:val="roman"/>
    <w:pitch w:val="variable"/>
    <w:sig w:usb0="00000001" w:usb1="00000003" w:usb2="00000000" w:usb3="00000000" w:csb0="0000009F" w:csb1="00000000"/>
  </w:font>
  <w:font w:name="Source Sans Pro SemiBold">
    <w:altName w:val="Sans Serif Collection"/>
    <w:charset w:val="00"/>
    <w:family w:val="swiss"/>
    <w:pitch w:val="variable"/>
    <w:sig w:usb0="00000001" w:usb1="02000001" w:usb2="00000000" w:usb3="00000000" w:csb0="0000019F" w:csb1="00000000"/>
  </w:font>
  <w:font w:name="Source Sans Pro Light">
    <w:altName w:val="Sans Serif Collection"/>
    <w:charset w:val="00"/>
    <w:family w:val="swiss"/>
    <w:pitch w:val="variable"/>
    <w:sig w:usb0="00000001" w:usb1="02000001" w:usb2="00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766088"/>
      <w:docPartObj>
        <w:docPartGallery w:val="Page Numbers (Bottom of Page)"/>
        <w:docPartUnique/>
      </w:docPartObj>
    </w:sdtPr>
    <w:sdtEndPr>
      <w:rPr>
        <w:noProof/>
      </w:rPr>
    </w:sdtEndPr>
    <w:sdtContent>
      <w:p w:rsidR="0038301A" w:rsidRDefault="0038301A" w:rsidP="00690F07">
        <w:pPr>
          <w:pStyle w:val="Footer"/>
          <w:jc w:val="right"/>
        </w:pPr>
        <w:r>
          <w:rPr>
            <w:noProof/>
            <w:lang w:val="ro-RO" w:eastAsia="ro-RO"/>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093031"/>
      <w:docPartObj>
        <w:docPartGallery w:val="Page Numbers (Bottom of Page)"/>
        <w:docPartUnique/>
      </w:docPartObj>
    </w:sdtPr>
    <w:sdtContent>
      <w:p w:rsidR="0038301A" w:rsidRDefault="0038301A" w:rsidP="00690F07">
        <w:pPr>
          <w:pStyle w:val="Footer"/>
        </w:pPr>
        <w:r>
          <w:rPr>
            <w:noProof/>
            <w:lang w:val="ro-RO" w:eastAsia="ro-RO"/>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6044CA" w:rsidRPr="006044CA">
          <w:rPr>
            <w:noProof/>
            <w:lang w:val="ro-RO"/>
          </w:rPr>
          <w:t>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01A" w:rsidRPr="00D12067" w:rsidRDefault="0038301A" w:rsidP="00EF5800">
    <w:pPr>
      <w:pStyle w:val="Footer"/>
      <w:ind w:firstLine="0"/>
      <w:jc w:val="left"/>
      <w:rPr>
        <w:rFonts w:ascii="Georgia Pro Cond Light" w:hAnsi="Georgia Pro Cond Light"/>
        <w:sz w:val="16"/>
        <w:szCs w:val="16"/>
      </w:rPr>
    </w:pPr>
    <w:r w:rsidRPr="00A54288">
      <w:rPr>
        <w:rFonts w:eastAsia="DengXian"/>
        <w:noProof/>
        <w:lang w:val="ro-RO" w:eastAsia="ro-RO"/>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Pr="00D12067">
      <w:rPr>
        <w:rFonts w:ascii="Georgia Pro Cond Light" w:hAnsi="Georgia Pro Cond Light"/>
        <w:sz w:val="16"/>
        <w:szCs w:val="16"/>
      </w:rPr>
      <w:t xml:space="preserve">Copyright </w:t>
    </w:r>
    <w:r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Pr="00FC3C21">
      <w:t xml:space="preserve"> </w:t>
    </w:r>
    <w:r w:rsidRPr="00FC3C21">
      <w:rPr>
        <w:rFonts w:ascii="Georgia Pro Cond Light" w:hAnsi="Georgia Pro Cond Light"/>
        <w:sz w:val="16"/>
        <w:szCs w:val="16"/>
      </w:rPr>
      <w:t>This work is licensed under CC BY 4.0</w:t>
    </w:r>
  </w:p>
  <w:p w:rsidR="0038301A" w:rsidRPr="00D12067" w:rsidRDefault="0038301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rsidR="0038301A" w:rsidRDefault="0038301A"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B9" w:rsidRDefault="008856B9" w:rsidP="00E3005B">
      <w:pPr>
        <w:spacing w:line="240" w:lineRule="auto"/>
      </w:pPr>
      <w:r>
        <w:separator/>
      </w:r>
    </w:p>
  </w:footnote>
  <w:footnote w:type="continuationSeparator" w:id="0">
    <w:p w:rsidR="008856B9" w:rsidRDefault="008856B9" w:rsidP="00E300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8301A" w:rsidTr="00007B00">
      <w:tc>
        <w:tcPr>
          <w:tcW w:w="4868" w:type="dxa"/>
        </w:tcPr>
        <w:p w:rsidR="0038301A" w:rsidRPr="00901D18" w:rsidRDefault="0038301A" w:rsidP="00212BC6">
          <w:pPr>
            <w:pStyle w:val="Header"/>
            <w:ind w:hanging="110"/>
            <w:rPr>
              <w:rFonts w:ascii="Source Sans Pro SemiBold" w:hAnsi="Source Sans Pro SemiBold"/>
              <w:lang w:val="ro-RO"/>
            </w:rPr>
          </w:pPr>
          <w:r w:rsidRPr="00901D18">
            <w:rPr>
              <w:rFonts w:ascii="Source Sans Pro SemiBold" w:hAnsi="Source Sans Pro SemiBold"/>
              <w:lang w:val="ro-RO"/>
            </w:rPr>
            <w:t xml:space="preserve">Journal XGEN, No. </w:t>
          </w:r>
          <w:r>
            <w:rPr>
              <w:rFonts w:ascii="Source Sans Pro SemiBold" w:hAnsi="Source Sans Pro SemiBold"/>
              <w:lang w:val="ro-RO"/>
            </w:rPr>
            <w:t>3</w:t>
          </w:r>
          <w:r w:rsidRPr="00901D18">
            <w:rPr>
              <w:rFonts w:ascii="Source Sans Pro SemiBold" w:hAnsi="Source Sans Pro SemiBold"/>
              <w:lang w:val="ro-RO"/>
            </w:rPr>
            <w:t>, 202</w:t>
          </w:r>
          <w:r>
            <w:rPr>
              <w:rFonts w:ascii="Source Sans Pro SemiBold" w:hAnsi="Source Sans Pro SemiBold"/>
              <w:lang w:val="ro-RO"/>
            </w:rPr>
            <w:t>4</w:t>
          </w:r>
        </w:p>
      </w:tc>
      <w:tc>
        <w:tcPr>
          <w:tcW w:w="4868" w:type="dxa"/>
        </w:tcPr>
        <w:p w:rsidR="0038301A" w:rsidRPr="00901D18" w:rsidRDefault="0038301A"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rsidR="0038301A" w:rsidRDefault="00383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8301A" w:rsidTr="00007B00">
      <w:tc>
        <w:tcPr>
          <w:tcW w:w="4868" w:type="dxa"/>
        </w:tcPr>
        <w:p w:rsidR="0038301A" w:rsidRPr="001373E7" w:rsidRDefault="0038301A" w:rsidP="00690F07">
          <w:pPr>
            <w:pStyle w:val="Header"/>
            <w:ind w:hanging="109"/>
            <w:rPr>
              <w:rFonts w:ascii="Source Sans Pro SemiBold" w:hAnsi="Source Sans Pro SemiBold"/>
              <w:lang w:val="ro-RO"/>
            </w:rPr>
          </w:pPr>
          <w:r w:rsidRPr="001373E7">
            <w:rPr>
              <w:rFonts w:ascii="Source Sans Pro SemiBold" w:hAnsi="Source Sans Pro SemiBold"/>
              <w:lang w:val="ro-RO"/>
            </w:rPr>
            <w:t xml:space="preserve">Journal </w:t>
          </w:r>
          <w:r>
            <w:rPr>
              <w:rFonts w:ascii="Source Sans Pro SemiBold" w:hAnsi="Source Sans Pro SemiBold"/>
              <w:lang w:val="ro-RO"/>
            </w:rPr>
            <w:t>OPACJ</w:t>
          </w:r>
          <w:r w:rsidRPr="001373E7">
            <w:rPr>
              <w:rFonts w:ascii="Source Sans Pro SemiBold" w:hAnsi="Source Sans Pro SemiBold"/>
              <w:lang w:val="ro-RO"/>
            </w:rPr>
            <w:t xml:space="preserve">, No. </w:t>
          </w:r>
          <w:r>
            <w:rPr>
              <w:rFonts w:ascii="Source Sans Pro SemiBold" w:hAnsi="Source Sans Pro SemiBold"/>
              <w:lang w:val="ro-RO"/>
            </w:rPr>
            <w:t>3</w:t>
          </w:r>
          <w:r w:rsidRPr="001373E7">
            <w:rPr>
              <w:rFonts w:ascii="Source Sans Pro SemiBold" w:hAnsi="Source Sans Pro SemiBold"/>
              <w:lang w:val="ro-RO"/>
            </w:rPr>
            <w:t>, 202</w:t>
          </w:r>
          <w:r>
            <w:rPr>
              <w:rFonts w:ascii="Source Sans Pro SemiBold" w:hAnsi="Source Sans Pro SemiBold"/>
              <w:lang w:val="ro-RO"/>
            </w:rPr>
            <w:t>4</w:t>
          </w:r>
        </w:p>
      </w:tc>
      <w:tc>
        <w:tcPr>
          <w:tcW w:w="4868" w:type="dxa"/>
        </w:tcPr>
        <w:p w:rsidR="0038301A" w:rsidRPr="001373E7" w:rsidRDefault="0038301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w:t>
          </w:r>
          <w:r>
            <w:rPr>
              <w:rFonts w:ascii="Source Sans Pro Light" w:hAnsi="Source Sans Pro Light"/>
              <w:lang w:val="ro-RO"/>
            </w:rPr>
            <w:t>opacj</w:t>
          </w:r>
          <w:r w:rsidRPr="001373E7">
            <w:rPr>
              <w:rFonts w:ascii="Source Sans Pro Light" w:hAnsi="Source Sans Pro Light"/>
              <w:lang w:val="ro-RO"/>
            </w:rPr>
            <w:t>.org</w:t>
          </w:r>
        </w:p>
      </w:tc>
    </w:tr>
  </w:tbl>
  <w:p w:rsidR="0038301A" w:rsidRDefault="003830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8301A" w:rsidTr="00DD0EC3">
      <w:tc>
        <w:tcPr>
          <w:tcW w:w="4868" w:type="dxa"/>
        </w:tcPr>
        <w:p w:rsidR="0038301A" w:rsidRPr="00901D18" w:rsidRDefault="0038301A"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Pr>
              <w:rFonts w:ascii="Source Sans Pro SemiBold" w:hAnsi="Source Sans Pro SemiBold"/>
              <w:lang w:val="ro-RO"/>
            </w:rPr>
            <w:t>3</w:t>
          </w:r>
          <w:r w:rsidRPr="00901D18">
            <w:rPr>
              <w:rFonts w:ascii="Source Sans Pro SemiBold" w:hAnsi="Source Sans Pro SemiBold"/>
              <w:lang w:val="ro-RO"/>
            </w:rPr>
            <w:t>, 202</w:t>
          </w:r>
          <w:r>
            <w:rPr>
              <w:rFonts w:ascii="Source Sans Pro SemiBold" w:hAnsi="Source Sans Pro SemiBold"/>
              <w:lang w:val="ro-RO"/>
            </w:rPr>
            <w:t>4</w:t>
          </w:r>
        </w:p>
      </w:tc>
      <w:tc>
        <w:tcPr>
          <w:tcW w:w="4868" w:type="dxa"/>
        </w:tcPr>
        <w:p w:rsidR="0038301A" w:rsidRPr="00901D18" w:rsidRDefault="0038301A"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Pr>
              <w:rFonts w:ascii="Source Sans Pro Light" w:hAnsi="Source Sans Pro Light"/>
              <w:lang w:val="ro-RO"/>
            </w:rPr>
            <w:t>opacj</w:t>
          </w:r>
          <w:r w:rsidRPr="00901D18">
            <w:rPr>
              <w:rFonts w:ascii="Source Sans Pro Light" w:hAnsi="Source Sans Pro Light"/>
              <w:lang w:val="ro-RO"/>
            </w:rPr>
            <w:t>.org</w:t>
          </w:r>
        </w:p>
      </w:tc>
    </w:tr>
  </w:tbl>
  <w:p w:rsidR="0038301A" w:rsidRPr="00267418" w:rsidRDefault="0038301A" w:rsidP="00E858E2">
    <w:pPr>
      <w:pStyle w:val="Header"/>
      <w:ind w:firstLine="0"/>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7653E"/>
    <w:multiLevelType w:val="multilevel"/>
    <w:tmpl w:val="3CB40F0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A4"/>
    <w:rsid w:val="00007B00"/>
    <w:rsid w:val="00015C18"/>
    <w:rsid w:val="0005466B"/>
    <w:rsid w:val="00072AF1"/>
    <w:rsid w:val="00087E69"/>
    <w:rsid w:val="00090421"/>
    <w:rsid w:val="0009417E"/>
    <w:rsid w:val="000A4862"/>
    <w:rsid w:val="000D5B03"/>
    <w:rsid w:val="000E549E"/>
    <w:rsid w:val="001231A3"/>
    <w:rsid w:val="001373E7"/>
    <w:rsid w:val="001601CA"/>
    <w:rsid w:val="001634DD"/>
    <w:rsid w:val="00173F8A"/>
    <w:rsid w:val="0018611C"/>
    <w:rsid w:val="001B0FF9"/>
    <w:rsid w:val="002019AE"/>
    <w:rsid w:val="00212BC6"/>
    <w:rsid w:val="0025463F"/>
    <w:rsid w:val="00267418"/>
    <w:rsid w:val="00296BF5"/>
    <w:rsid w:val="003251D9"/>
    <w:rsid w:val="0034162B"/>
    <w:rsid w:val="0034417C"/>
    <w:rsid w:val="00370577"/>
    <w:rsid w:val="0038301A"/>
    <w:rsid w:val="003A08DB"/>
    <w:rsid w:val="003A2130"/>
    <w:rsid w:val="003D50DE"/>
    <w:rsid w:val="003D7B5E"/>
    <w:rsid w:val="003E70DA"/>
    <w:rsid w:val="0041428B"/>
    <w:rsid w:val="00415973"/>
    <w:rsid w:val="00426725"/>
    <w:rsid w:val="00440162"/>
    <w:rsid w:val="00452AC6"/>
    <w:rsid w:val="0045384A"/>
    <w:rsid w:val="004E20B9"/>
    <w:rsid w:val="004E7F40"/>
    <w:rsid w:val="004F75D3"/>
    <w:rsid w:val="00525183"/>
    <w:rsid w:val="00537543"/>
    <w:rsid w:val="00541C69"/>
    <w:rsid w:val="00547FE8"/>
    <w:rsid w:val="00555663"/>
    <w:rsid w:val="0056400F"/>
    <w:rsid w:val="00566D68"/>
    <w:rsid w:val="005768B1"/>
    <w:rsid w:val="005A232C"/>
    <w:rsid w:val="006044CA"/>
    <w:rsid w:val="006356E8"/>
    <w:rsid w:val="00645718"/>
    <w:rsid w:val="00646C65"/>
    <w:rsid w:val="0067669A"/>
    <w:rsid w:val="00681EA4"/>
    <w:rsid w:val="00690F07"/>
    <w:rsid w:val="006A4ECD"/>
    <w:rsid w:val="006B5AAC"/>
    <w:rsid w:val="00713F7A"/>
    <w:rsid w:val="00725B38"/>
    <w:rsid w:val="0077784E"/>
    <w:rsid w:val="007913EA"/>
    <w:rsid w:val="007A3745"/>
    <w:rsid w:val="007A3A66"/>
    <w:rsid w:val="007A4E26"/>
    <w:rsid w:val="007A6061"/>
    <w:rsid w:val="007D07C5"/>
    <w:rsid w:val="007E5D88"/>
    <w:rsid w:val="007F4540"/>
    <w:rsid w:val="008570BB"/>
    <w:rsid w:val="008856B9"/>
    <w:rsid w:val="008C7AFF"/>
    <w:rsid w:val="00901D18"/>
    <w:rsid w:val="00910BA6"/>
    <w:rsid w:val="0091111E"/>
    <w:rsid w:val="0095682F"/>
    <w:rsid w:val="009B4C26"/>
    <w:rsid w:val="009B7DA3"/>
    <w:rsid w:val="009C170F"/>
    <w:rsid w:val="009D0FE7"/>
    <w:rsid w:val="009D3C73"/>
    <w:rsid w:val="009D6A98"/>
    <w:rsid w:val="00A04822"/>
    <w:rsid w:val="00A05D76"/>
    <w:rsid w:val="00A13D36"/>
    <w:rsid w:val="00A36FB0"/>
    <w:rsid w:val="00A41836"/>
    <w:rsid w:val="00A574E8"/>
    <w:rsid w:val="00A7719D"/>
    <w:rsid w:val="00A80562"/>
    <w:rsid w:val="00AB559B"/>
    <w:rsid w:val="00AB74A0"/>
    <w:rsid w:val="00AE0D7F"/>
    <w:rsid w:val="00B639D0"/>
    <w:rsid w:val="00B65BF0"/>
    <w:rsid w:val="00B76744"/>
    <w:rsid w:val="00B830FA"/>
    <w:rsid w:val="00B93BFA"/>
    <w:rsid w:val="00BB60A1"/>
    <w:rsid w:val="00BC15F8"/>
    <w:rsid w:val="00BF7766"/>
    <w:rsid w:val="00C05502"/>
    <w:rsid w:val="00C14AB0"/>
    <w:rsid w:val="00C2460D"/>
    <w:rsid w:val="00C45934"/>
    <w:rsid w:val="00C63407"/>
    <w:rsid w:val="00C70272"/>
    <w:rsid w:val="00C910D0"/>
    <w:rsid w:val="00C94015"/>
    <w:rsid w:val="00CA7C0A"/>
    <w:rsid w:val="00CB2A86"/>
    <w:rsid w:val="00CC5E5C"/>
    <w:rsid w:val="00CD04D9"/>
    <w:rsid w:val="00CE1D8F"/>
    <w:rsid w:val="00CE2B2F"/>
    <w:rsid w:val="00CE39D1"/>
    <w:rsid w:val="00D0020D"/>
    <w:rsid w:val="00D12067"/>
    <w:rsid w:val="00D1521B"/>
    <w:rsid w:val="00D178C3"/>
    <w:rsid w:val="00D17B18"/>
    <w:rsid w:val="00D50F3F"/>
    <w:rsid w:val="00D76D7B"/>
    <w:rsid w:val="00D84EB7"/>
    <w:rsid w:val="00D8752B"/>
    <w:rsid w:val="00D9537B"/>
    <w:rsid w:val="00DB236B"/>
    <w:rsid w:val="00DD0EC3"/>
    <w:rsid w:val="00E22573"/>
    <w:rsid w:val="00E3005B"/>
    <w:rsid w:val="00E4644F"/>
    <w:rsid w:val="00E6787B"/>
    <w:rsid w:val="00E7193B"/>
    <w:rsid w:val="00E80A3D"/>
    <w:rsid w:val="00E858E2"/>
    <w:rsid w:val="00EC6E85"/>
    <w:rsid w:val="00EF5800"/>
    <w:rsid w:val="00F02433"/>
    <w:rsid w:val="00F14370"/>
    <w:rsid w:val="00F2164A"/>
    <w:rsid w:val="00F56834"/>
    <w:rsid w:val="00F64D50"/>
    <w:rsid w:val="00F86B98"/>
    <w:rsid w:val="00F95B6B"/>
    <w:rsid w:val="00FA3573"/>
    <w:rsid w:val="00FB2524"/>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982C0F-F0FF-4B12-B5AC-D49B5BC0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customStyle="1"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 w:type="paragraph" w:styleId="ListParagraph">
    <w:name w:val="List Paragraph"/>
    <w:basedOn w:val="Normal"/>
    <w:uiPriority w:val="34"/>
    <w:qFormat/>
    <w:rsid w:val="00D178C3"/>
    <w:pPr>
      <w:ind w:left="720"/>
      <w:contextualSpacing/>
    </w:pPr>
  </w:style>
  <w:style w:type="paragraph" w:styleId="NormalWeb">
    <w:name w:val="Normal (Web)"/>
    <w:basedOn w:val="Normal"/>
    <w:uiPriority w:val="99"/>
    <w:unhideWhenUsed/>
    <w:rsid w:val="00AE0D7F"/>
    <w:pPr>
      <w:spacing w:before="100" w:beforeAutospacing="1" w:after="100" w:afterAutospacing="1" w:line="240" w:lineRule="auto"/>
      <w:ind w:firstLine="0"/>
      <w:jc w:val="left"/>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AE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817">
      <w:bodyDiv w:val="1"/>
      <w:marLeft w:val="0"/>
      <w:marRight w:val="0"/>
      <w:marTop w:val="0"/>
      <w:marBottom w:val="0"/>
      <w:divBdr>
        <w:top w:val="none" w:sz="0" w:space="0" w:color="auto"/>
        <w:left w:val="none" w:sz="0" w:space="0" w:color="auto"/>
        <w:bottom w:val="none" w:sz="0" w:space="0" w:color="auto"/>
        <w:right w:val="none" w:sz="0" w:space="0" w:color="auto"/>
      </w:divBdr>
    </w:div>
    <w:div w:id="15742307">
      <w:bodyDiv w:val="1"/>
      <w:marLeft w:val="0"/>
      <w:marRight w:val="0"/>
      <w:marTop w:val="0"/>
      <w:marBottom w:val="0"/>
      <w:divBdr>
        <w:top w:val="none" w:sz="0" w:space="0" w:color="auto"/>
        <w:left w:val="none" w:sz="0" w:space="0" w:color="auto"/>
        <w:bottom w:val="none" w:sz="0" w:space="0" w:color="auto"/>
        <w:right w:val="none" w:sz="0" w:space="0" w:color="auto"/>
      </w:divBdr>
    </w:div>
    <w:div w:id="23798852">
      <w:bodyDiv w:val="1"/>
      <w:marLeft w:val="0"/>
      <w:marRight w:val="0"/>
      <w:marTop w:val="0"/>
      <w:marBottom w:val="0"/>
      <w:divBdr>
        <w:top w:val="none" w:sz="0" w:space="0" w:color="auto"/>
        <w:left w:val="none" w:sz="0" w:space="0" w:color="auto"/>
        <w:bottom w:val="none" w:sz="0" w:space="0" w:color="auto"/>
        <w:right w:val="none" w:sz="0" w:space="0" w:color="auto"/>
      </w:divBdr>
    </w:div>
    <w:div w:id="33384567">
      <w:bodyDiv w:val="1"/>
      <w:marLeft w:val="0"/>
      <w:marRight w:val="0"/>
      <w:marTop w:val="0"/>
      <w:marBottom w:val="0"/>
      <w:divBdr>
        <w:top w:val="none" w:sz="0" w:space="0" w:color="auto"/>
        <w:left w:val="none" w:sz="0" w:space="0" w:color="auto"/>
        <w:bottom w:val="none" w:sz="0" w:space="0" w:color="auto"/>
        <w:right w:val="none" w:sz="0" w:space="0" w:color="auto"/>
      </w:divBdr>
    </w:div>
    <w:div w:id="33388799">
      <w:bodyDiv w:val="1"/>
      <w:marLeft w:val="0"/>
      <w:marRight w:val="0"/>
      <w:marTop w:val="0"/>
      <w:marBottom w:val="0"/>
      <w:divBdr>
        <w:top w:val="none" w:sz="0" w:space="0" w:color="auto"/>
        <w:left w:val="none" w:sz="0" w:space="0" w:color="auto"/>
        <w:bottom w:val="none" w:sz="0" w:space="0" w:color="auto"/>
        <w:right w:val="none" w:sz="0" w:space="0" w:color="auto"/>
      </w:divBdr>
    </w:div>
    <w:div w:id="40251535">
      <w:bodyDiv w:val="1"/>
      <w:marLeft w:val="0"/>
      <w:marRight w:val="0"/>
      <w:marTop w:val="0"/>
      <w:marBottom w:val="0"/>
      <w:divBdr>
        <w:top w:val="none" w:sz="0" w:space="0" w:color="auto"/>
        <w:left w:val="none" w:sz="0" w:space="0" w:color="auto"/>
        <w:bottom w:val="none" w:sz="0" w:space="0" w:color="auto"/>
        <w:right w:val="none" w:sz="0" w:space="0" w:color="auto"/>
      </w:divBdr>
    </w:div>
    <w:div w:id="85007431">
      <w:bodyDiv w:val="1"/>
      <w:marLeft w:val="0"/>
      <w:marRight w:val="0"/>
      <w:marTop w:val="0"/>
      <w:marBottom w:val="0"/>
      <w:divBdr>
        <w:top w:val="none" w:sz="0" w:space="0" w:color="auto"/>
        <w:left w:val="none" w:sz="0" w:space="0" w:color="auto"/>
        <w:bottom w:val="none" w:sz="0" w:space="0" w:color="auto"/>
        <w:right w:val="none" w:sz="0" w:space="0" w:color="auto"/>
      </w:divBdr>
    </w:div>
    <w:div w:id="87773566">
      <w:bodyDiv w:val="1"/>
      <w:marLeft w:val="0"/>
      <w:marRight w:val="0"/>
      <w:marTop w:val="0"/>
      <w:marBottom w:val="0"/>
      <w:divBdr>
        <w:top w:val="none" w:sz="0" w:space="0" w:color="auto"/>
        <w:left w:val="none" w:sz="0" w:space="0" w:color="auto"/>
        <w:bottom w:val="none" w:sz="0" w:space="0" w:color="auto"/>
        <w:right w:val="none" w:sz="0" w:space="0" w:color="auto"/>
      </w:divBdr>
    </w:div>
    <w:div w:id="103886680">
      <w:bodyDiv w:val="1"/>
      <w:marLeft w:val="0"/>
      <w:marRight w:val="0"/>
      <w:marTop w:val="0"/>
      <w:marBottom w:val="0"/>
      <w:divBdr>
        <w:top w:val="none" w:sz="0" w:space="0" w:color="auto"/>
        <w:left w:val="none" w:sz="0" w:space="0" w:color="auto"/>
        <w:bottom w:val="none" w:sz="0" w:space="0" w:color="auto"/>
        <w:right w:val="none" w:sz="0" w:space="0" w:color="auto"/>
      </w:divBdr>
    </w:div>
    <w:div w:id="109323660">
      <w:bodyDiv w:val="1"/>
      <w:marLeft w:val="0"/>
      <w:marRight w:val="0"/>
      <w:marTop w:val="0"/>
      <w:marBottom w:val="0"/>
      <w:divBdr>
        <w:top w:val="none" w:sz="0" w:space="0" w:color="auto"/>
        <w:left w:val="none" w:sz="0" w:space="0" w:color="auto"/>
        <w:bottom w:val="none" w:sz="0" w:space="0" w:color="auto"/>
        <w:right w:val="none" w:sz="0" w:space="0" w:color="auto"/>
      </w:divBdr>
    </w:div>
    <w:div w:id="109934471">
      <w:bodyDiv w:val="1"/>
      <w:marLeft w:val="0"/>
      <w:marRight w:val="0"/>
      <w:marTop w:val="0"/>
      <w:marBottom w:val="0"/>
      <w:divBdr>
        <w:top w:val="none" w:sz="0" w:space="0" w:color="auto"/>
        <w:left w:val="none" w:sz="0" w:space="0" w:color="auto"/>
        <w:bottom w:val="none" w:sz="0" w:space="0" w:color="auto"/>
        <w:right w:val="none" w:sz="0" w:space="0" w:color="auto"/>
      </w:divBdr>
    </w:div>
    <w:div w:id="118695611">
      <w:bodyDiv w:val="1"/>
      <w:marLeft w:val="0"/>
      <w:marRight w:val="0"/>
      <w:marTop w:val="0"/>
      <w:marBottom w:val="0"/>
      <w:divBdr>
        <w:top w:val="none" w:sz="0" w:space="0" w:color="auto"/>
        <w:left w:val="none" w:sz="0" w:space="0" w:color="auto"/>
        <w:bottom w:val="none" w:sz="0" w:space="0" w:color="auto"/>
        <w:right w:val="none" w:sz="0" w:space="0" w:color="auto"/>
      </w:divBdr>
    </w:div>
    <w:div w:id="120156912">
      <w:bodyDiv w:val="1"/>
      <w:marLeft w:val="0"/>
      <w:marRight w:val="0"/>
      <w:marTop w:val="0"/>
      <w:marBottom w:val="0"/>
      <w:divBdr>
        <w:top w:val="none" w:sz="0" w:space="0" w:color="auto"/>
        <w:left w:val="none" w:sz="0" w:space="0" w:color="auto"/>
        <w:bottom w:val="none" w:sz="0" w:space="0" w:color="auto"/>
        <w:right w:val="none" w:sz="0" w:space="0" w:color="auto"/>
      </w:divBdr>
    </w:div>
    <w:div w:id="136337999">
      <w:bodyDiv w:val="1"/>
      <w:marLeft w:val="0"/>
      <w:marRight w:val="0"/>
      <w:marTop w:val="0"/>
      <w:marBottom w:val="0"/>
      <w:divBdr>
        <w:top w:val="none" w:sz="0" w:space="0" w:color="auto"/>
        <w:left w:val="none" w:sz="0" w:space="0" w:color="auto"/>
        <w:bottom w:val="none" w:sz="0" w:space="0" w:color="auto"/>
        <w:right w:val="none" w:sz="0" w:space="0" w:color="auto"/>
      </w:divBdr>
    </w:div>
    <w:div w:id="148594687">
      <w:bodyDiv w:val="1"/>
      <w:marLeft w:val="0"/>
      <w:marRight w:val="0"/>
      <w:marTop w:val="0"/>
      <w:marBottom w:val="0"/>
      <w:divBdr>
        <w:top w:val="none" w:sz="0" w:space="0" w:color="auto"/>
        <w:left w:val="none" w:sz="0" w:space="0" w:color="auto"/>
        <w:bottom w:val="none" w:sz="0" w:space="0" w:color="auto"/>
        <w:right w:val="none" w:sz="0" w:space="0" w:color="auto"/>
      </w:divBdr>
    </w:div>
    <w:div w:id="148905303">
      <w:bodyDiv w:val="1"/>
      <w:marLeft w:val="0"/>
      <w:marRight w:val="0"/>
      <w:marTop w:val="0"/>
      <w:marBottom w:val="0"/>
      <w:divBdr>
        <w:top w:val="none" w:sz="0" w:space="0" w:color="auto"/>
        <w:left w:val="none" w:sz="0" w:space="0" w:color="auto"/>
        <w:bottom w:val="none" w:sz="0" w:space="0" w:color="auto"/>
        <w:right w:val="none" w:sz="0" w:space="0" w:color="auto"/>
      </w:divBdr>
    </w:div>
    <w:div w:id="154810571">
      <w:bodyDiv w:val="1"/>
      <w:marLeft w:val="0"/>
      <w:marRight w:val="0"/>
      <w:marTop w:val="0"/>
      <w:marBottom w:val="0"/>
      <w:divBdr>
        <w:top w:val="none" w:sz="0" w:space="0" w:color="auto"/>
        <w:left w:val="none" w:sz="0" w:space="0" w:color="auto"/>
        <w:bottom w:val="none" w:sz="0" w:space="0" w:color="auto"/>
        <w:right w:val="none" w:sz="0" w:space="0" w:color="auto"/>
      </w:divBdr>
    </w:div>
    <w:div w:id="173496599">
      <w:bodyDiv w:val="1"/>
      <w:marLeft w:val="0"/>
      <w:marRight w:val="0"/>
      <w:marTop w:val="0"/>
      <w:marBottom w:val="0"/>
      <w:divBdr>
        <w:top w:val="none" w:sz="0" w:space="0" w:color="auto"/>
        <w:left w:val="none" w:sz="0" w:space="0" w:color="auto"/>
        <w:bottom w:val="none" w:sz="0" w:space="0" w:color="auto"/>
        <w:right w:val="none" w:sz="0" w:space="0" w:color="auto"/>
      </w:divBdr>
    </w:div>
    <w:div w:id="180122147">
      <w:bodyDiv w:val="1"/>
      <w:marLeft w:val="0"/>
      <w:marRight w:val="0"/>
      <w:marTop w:val="0"/>
      <w:marBottom w:val="0"/>
      <w:divBdr>
        <w:top w:val="none" w:sz="0" w:space="0" w:color="auto"/>
        <w:left w:val="none" w:sz="0" w:space="0" w:color="auto"/>
        <w:bottom w:val="none" w:sz="0" w:space="0" w:color="auto"/>
        <w:right w:val="none" w:sz="0" w:space="0" w:color="auto"/>
      </w:divBdr>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199825894">
      <w:bodyDiv w:val="1"/>
      <w:marLeft w:val="0"/>
      <w:marRight w:val="0"/>
      <w:marTop w:val="0"/>
      <w:marBottom w:val="0"/>
      <w:divBdr>
        <w:top w:val="none" w:sz="0" w:space="0" w:color="auto"/>
        <w:left w:val="none" w:sz="0" w:space="0" w:color="auto"/>
        <w:bottom w:val="none" w:sz="0" w:space="0" w:color="auto"/>
        <w:right w:val="none" w:sz="0" w:space="0" w:color="auto"/>
      </w:divBdr>
    </w:div>
    <w:div w:id="215820564">
      <w:bodyDiv w:val="1"/>
      <w:marLeft w:val="0"/>
      <w:marRight w:val="0"/>
      <w:marTop w:val="0"/>
      <w:marBottom w:val="0"/>
      <w:divBdr>
        <w:top w:val="none" w:sz="0" w:space="0" w:color="auto"/>
        <w:left w:val="none" w:sz="0" w:space="0" w:color="auto"/>
        <w:bottom w:val="none" w:sz="0" w:space="0" w:color="auto"/>
        <w:right w:val="none" w:sz="0" w:space="0" w:color="auto"/>
      </w:divBdr>
    </w:div>
    <w:div w:id="232548810">
      <w:bodyDiv w:val="1"/>
      <w:marLeft w:val="0"/>
      <w:marRight w:val="0"/>
      <w:marTop w:val="0"/>
      <w:marBottom w:val="0"/>
      <w:divBdr>
        <w:top w:val="none" w:sz="0" w:space="0" w:color="auto"/>
        <w:left w:val="none" w:sz="0" w:space="0" w:color="auto"/>
        <w:bottom w:val="none" w:sz="0" w:space="0" w:color="auto"/>
        <w:right w:val="none" w:sz="0" w:space="0" w:color="auto"/>
      </w:divBdr>
    </w:div>
    <w:div w:id="297415244">
      <w:bodyDiv w:val="1"/>
      <w:marLeft w:val="0"/>
      <w:marRight w:val="0"/>
      <w:marTop w:val="0"/>
      <w:marBottom w:val="0"/>
      <w:divBdr>
        <w:top w:val="none" w:sz="0" w:space="0" w:color="auto"/>
        <w:left w:val="none" w:sz="0" w:space="0" w:color="auto"/>
        <w:bottom w:val="none" w:sz="0" w:space="0" w:color="auto"/>
        <w:right w:val="none" w:sz="0" w:space="0" w:color="auto"/>
      </w:divBdr>
    </w:div>
    <w:div w:id="300690874">
      <w:bodyDiv w:val="1"/>
      <w:marLeft w:val="0"/>
      <w:marRight w:val="0"/>
      <w:marTop w:val="0"/>
      <w:marBottom w:val="0"/>
      <w:divBdr>
        <w:top w:val="none" w:sz="0" w:space="0" w:color="auto"/>
        <w:left w:val="none" w:sz="0" w:space="0" w:color="auto"/>
        <w:bottom w:val="none" w:sz="0" w:space="0" w:color="auto"/>
        <w:right w:val="none" w:sz="0" w:space="0" w:color="auto"/>
      </w:divBdr>
    </w:div>
    <w:div w:id="310138008">
      <w:bodyDiv w:val="1"/>
      <w:marLeft w:val="0"/>
      <w:marRight w:val="0"/>
      <w:marTop w:val="0"/>
      <w:marBottom w:val="0"/>
      <w:divBdr>
        <w:top w:val="none" w:sz="0" w:space="0" w:color="auto"/>
        <w:left w:val="none" w:sz="0" w:space="0" w:color="auto"/>
        <w:bottom w:val="none" w:sz="0" w:space="0" w:color="auto"/>
        <w:right w:val="none" w:sz="0" w:space="0" w:color="auto"/>
      </w:divBdr>
    </w:div>
    <w:div w:id="320429441">
      <w:bodyDiv w:val="1"/>
      <w:marLeft w:val="0"/>
      <w:marRight w:val="0"/>
      <w:marTop w:val="0"/>
      <w:marBottom w:val="0"/>
      <w:divBdr>
        <w:top w:val="none" w:sz="0" w:space="0" w:color="auto"/>
        <w:left w:val="none" w:sz="0" w:space="0" w:color="auto"/>
        <w:bottom w:val="none" w:sz="0" w:space="0" w:color="auto"/>
        <w:right w:val="none" w:sz="0" w:space="0" w:color="auto"/>
      </w:divBdr>
    </w:div>
    <w:div w:id="332807099">
      <w:bodyDiv w:val="1"/>
      <w:marLeft w:val="0"/>
      <w:marRight w:val="0"/>
      <w:marTop w:val="0"/>
      <w:marBottom w:val="0"/>
      <w:divBdr>
        <w:top w:val="none" w:sz="0" w:space="0" w:color="auto"/>
        <w:left w:val="none" w:sz="0" w:space="0" w:color="auto"/>
        <w:bottom w:val="none" w:sz="0" w:space="0" w:color="auto"/>
        <w:right w:val="none" w:sz="0" w:space="0" w:color="auto"/>
      </w:divBdr>
    </w:div>
    <w:div w:id="350837759">
      <w:bodyDiv w:val="1"/>
      <w:marLeft w:val="0"/>
      <w:marRight w:val="0"/>
      <w:marTop w:val="0"/>
      <w:marBottom w:val="0"/>
      <w:divBdr>
        <w:top w:val="none" w:sz="0" w:space="0" w:color="auto"/>
        <w:left w:val="none" w:sz="0" w:space="0" w:color="auto"/>
        <w:bottom w:val="none" w:sz="0" w:space="0" w:color="auto"/>
        <w:right w:val="none" w:sz="0" w:space="0" w:color="auto"/>
      </w:divBdr>
    </w:div>
    <w:div w:id="364017118">
      <w:bodyDiv w:val="1"/>
      <w:marLeft w:val="0"/>
      <w:marRight w:val="0"/>
      <w:marTop w:val="0"/>
      <w:marBottom w:val="0"/>
      <w:divBdr>
        <w:top w:val="none" w:sz="0" w:space="0" w:color="auto"/>
        <w:left w:val="none" w:sz="0" w:space="0" w:color="auto"/>
        <w:bottom w:val="none" w:sz="0" w:space="0" w:color="auto"/>
        <w:right w:val="none" w:sz="0" w:space="0" w:color="auto"/>
      </w:divBdr>
    </w:div>
    <w:div w:id="383918057">
      <w:bodyDiv w:val="1"/>
      <w:marLeft w:val="0"/>
      <w:marRight w:val="0"/>
      <w:marTop w:val="0"/>
      <w:marBottom w:val="0"/>
      <w:divBdr>
        <w:top w:val="none" w:sz="0" w:space="0" w:color="auto"/>
        <w:left w:val="none" w:sz="0" w:space="0" w:color="auto"/>
        <w:bottom w:val="none" w:sz="0" w:space="0" w:color="auto"/>
        <w:right w:val="none" w:sz="0" w:space="0" w:color="auto"/>
      </w:divBdr>
    </w:div>
    <w:div w:id="404568778">
      <w:bodyDiv w:val="1"/>
      <w:marLeft w:val="0"/>
      <w:marRight w:val="0"/>
      <w:marTop w:val="0"/>
      <w:marBottom w:val="0"/>
      <w:divBdr>
        <w:top w:val="none" w:sz="0" w:space="0" w:color="auto"/>
        <w:left w:val="none" w:sz="0" w:space="0" w:color="auto"/>
        <w:bottom w:val="none" w:sz="0" w:space="0" w:color="auto"/>
        <w:right w:val="none" w:sz="0" w:space="0" w:color="auto"/>
      </w:divBdr>
    </w:div>
    <w:div w:id="406541403">
      <w:bodyDiv w:val="1"/>
      <w:marLeft w:val="0"/>
      <w:marRight w:val="0"/>
      <w:marTop w:val="0"/>
      <w:marBottom w:val="0"/>
      <w:divBdr>
        <w:top w:val="none" w:sz="0" w:space="0" w:color="auto"/>
        <w:left w:val="none" w:sz="0" w:space="0" w:color="auto"/>
        <w:bottom w:val="none" w:sz="0" w:space="0" w:color="auto"/>
        <w:right w:val="none" w:sz="0" w:space="0" w:color="auto"/>
      </w:divBdr>
    </w:div>
    <w:div w:id="415444467">
      <w:bodyDiv w:val="1"/>
      <w:marLeft w:val="0"/>
      <w:marRight w:val="0"/>
      <w:marTop w:val="0"/>
      <w:marBottom w:val="0"/>
      <w:divBdr>
        <w:top w:val="none" w:sz="0" w:space="0" w:color="auto"/>
        <w:left w:val="none" w:sz="0" w:space="0" w:color="auto"/>
        <w:bottom w:val="none" w:sz="0" w:space="0" w:color="auto"/>
        <w:right w:val="none" w:sz="0" w:space="0" w:color="auto"/>
      </w:divBdr>
      <w:divsChild>
        <w:div w:id="946078440">
          <w:marLeft w:val="0"/>
          <w:marRight w:val="0"/>
          <w:marTop w:val="0"/>
          <w:marBottom w:val="0"/>
          <w:divBdr>
            <w:top w:val="none" w:sz="0" w:space="0" w:color="auto"/>
            <w:left w:val="none" w:sz="0" w:space="0" w:color="auto"/>
            <w:bottom w:val="none" w:sz="0" w:space="0" w:color="auto"/>
            <w:right w:val="none" w:sz="0" w:space="0" w:color="auto"/>
          </w:divBdr>
          <w:divsChild>
            <w:div w:id="1117724242">
              <w:marLeft w:val="0"/>
              <w:marRight w:val="0"/>
              <w:marTop w:val="0"/>
              <w:marBottom w:val="0"/>
              <w:divBdr>
                <w:top w:val="none" w:sz="0" w:space="0" w:color="auto"/>
                <w:left w:val="none" w:sz="0" w:space="0" w:color="auto"/>
                <w:bottom w:val="none" w:sz="0" w:space="0" w:color="auto"/>
                <w:right w:val="none" w:sz="0" w:space="0" w:color="auto"/>
              </w:divBdr>
              <w:divsChild>
                <w:div w:id="1637223106">
                  <w:marLeft w:val="0"/>
                  <w:marRight w:val="0"/>
                  <w:marTop w:val="0"/>
                  <w:marBottom w:val="0"/>
                  <w:divBdr>
                    <w:top w:val="none" w:sz="0" w:space="0" w:color="auto"/>
                    <w:left w:val="none" w:sz="0" w:space="0" w:color="auto"/>
                    <w:bottom w:val="none" w:sz="0" w:space="0" w:color="auto"/>
                    <w:right w:val="none" w:sz="0" w:space="0" w:color="auto"/>
                  </w:divBdr>
                  <w:divsChild>
                    <w:div w:id="442264326">
                      <w:marLeft w:val="0"/>
                      <w:marRight w:val="0"/>
                      <w:marTop w:val="0"/>
                      <w:marBottom w:val="0"/>
                      <w:divBdr>
                        <w:top w:val="none" w:sz="0" w:space="0" w:color="auto"/>
                        <w:left w:val="none" w:sz="0" w:space="0" w:color="auto"/>
                        <w:bottom w:val="none" w:sz="0" w:space="0" w:color="auto"/>
                        <w:right w:val="none" w:sz="0" w:space="0" w:color="auto"/>
                      </w:divBdr>
                      <w:divsChild>
                        <w:div w:id="316153455">
                          <w:marLeft w:val="0"/>
                          <w:marRight w:val="0"/>
                          <w:marTop w:val="0"/>
                          <w:marBottom w:val="0"/>
                          <w:divBdr>
                            <w:top w:val="none" w:sz="0" w:space="0" w:color="auto"/>
                            <w:left w:val="none" w:sz="0" w:space="0" w:color="auto"/>
                            <w:bottom w:val="none" w:sz="0" w:space="0" w:color="auto"/>
                            <w:right w:val="none" w:sz="0" w:space="0" w:color="auto"/>
                          </w:divBdr>
                          <w:divsChild>
                            <w:div w:id="2005861720">
                              <w:marLeft w:val="0"/>
                              <w:marRight w:val="0"/>
                              <w:marTop w:val="0"/>
                              <w:marBottom w:val="0"/>
                              <w:divBdr>
                                <w:top w:val="none" w:sz="0" w:space="0" w:color="auto"/>
                                <w:left w:val="none" w:sz="0" w:space="0" w:color="auto"/>
                                <w:bottom w:val="none" w:sz="0" w:space="0" w:color="auto"/>
                                <w:right w:val="none" w:sz="0" w:space="0" w:color="auto"/>
                              </w:divBdr>
                              <w:divsChild>
                                <w:div w:id="238053086">
                                  <w:marLeft w:val="0"/>
                                  <w:marRight w:val="0"/>
                                  <w:marTop w:val="0"/>
                                  <w:marBottom w:val="0"/>
                                  <w:divBdr>
                                    <w:top w:val="none" w:sz="0" w:space="0" w:color="auto"/>
                                    <w:left w:val="none" w:sz="0" w:space="0" w:color="auto"/>
                                    <w:bottom w:val="none" w:sz="0" w:space="0" w:color="auto"/>
                                    <w:right w:val="none" w:sz="0" w:space="0" w:color="auto"/>
                                  </w:divBdr>
                                  <w:divsChild>
                                    <w:div w:id="1445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187490">
      <w:bodyDiv w:val="1"/>
      <w:marLeft w:val="0"/>
      <w:marRight w:val="0"/>
      <w:marTop w:val="0"/>
      <w:marBottom w:val="0"/>
      <w:divBdr>
        <w:top w:val="none" w:sz="0" w:space="0" w:color="auto"/>
        <w:left w:val="none" w:sz="0" w:space="0" w:color="auto"/>
        <w:bottom w:val="none" w:sz="0" w:space="0" w:color="auto"/>
        <w:right w:val="none" w:sz="0" w:space="0" w:color="auto"/>
      </w:divBdr>
    </w:div>
    <w:div w:id="443500815">
      <w:bodyDiv w:val="1"/>
      <w:marLeft w:val="0"/>
      <w:marRight w:val="0"/>
      <w:marTop w:val="0"/>
      <w:marBottom w:val="0"/>
      <w:divBdr>
        <w:top w:val="none" w:sz="0" w:space="0" w:color="auto"/>
        <w:left w:val="none" w:sz="0" w:space="0" w:color="auto"/>
        <w:bottom w:val="none" w:sz="0" w:space="0" w:color="auto"/>
        <w:right w:val="none" w:sz="0" w:space="0" w:color="auto"/>
      </w:divBdr>
    </w:div>
    <w:div w:id="465898403">
      <w:bodyDiv w:val="1"/>
      <w:marLeft w:val="0"/>
      <w:marRight w:val="0"/>
      <w:marTop w:val="0"/>
      <w:marBottom w:val="0"/>
      <w:divBdr>
        <w:top w:val="none" w:sz="0" w:space="0" w:color="auto"/>
        <w:left w:val="none" w:sz="0" w:space="0" w:color="auto"/>
        <w:bottom w:val="none" w:sz="0" w:space="0" w:color="auto"/>
        <w:right w:val="none" w:sz="0" w:space="0" w:color="auto"/>
      </w:divBdr>
    </w:div>
    <w:div w:id="474879839">
      <w:bodyDiv w:val="1"/>
      <w:marLeft w:val="0"/>
      <w:marRight w:val="0"/>
      <w:marTop w:val="0"/>
      <w:marBottom w:val="0"/>
      <w:divBdr>
        <w:top w:val="none" w:sz="0" w:space="0" w:color="auto"/>
        <w:left w:val="none" w:sz="0" w:space="0" w:color="auto"/>
        <w:bottom w:val="none" w:sz="0" w:space="0" w:color="auto"/>
        <w:right w:val="none" w:sz="0" w:space="0" w:color="auto"/>
      </w:divBdr>
    </w:div>
    <w:div w:id="500388384">
      <w:bodyDiv w:val="1"/>
      <w:marLeft w:val="0"/>
      <w:marRight w:val="0"/>
      <w:marTop w:val="0"/>
      <w:marBottom w:val="0"/>
      <w:divBdr>
        <w:top w:val="none" w:sz="0" w:space="0" w:color="auto"/>
        <w:left w:val="none" w:sz="0" w:space="0" w:color="auto"/>
        <w:bottom w:val="none" w:sz="0" w:space="0" w:color="auto"/>
        <w:right w:val="none" w:sz="0" w:space="0" w:color="auto"/>
      </w:divBdr>
    </w:div>
    <w:div w:id="517504744">
      <w:bodyDiv w:val="1"/>
      <w:marLeft w:val="0"/>
      <w:marRight w:val="0"/>
      <w:marTop w:val="0"/>
      <w:marBottom w:val="0"/>
      <w:divBdr>
        <w:top w:val="none" w:sz="0" w:space="0" w:color="auto"/>
        <w:left w:val="none" w:sz="0" w:space="0" w:color="auto"/>
        <w:bottom w:val="none" w:sz="0" w:space="0" w:color="auto"/>
        <w:right w:val="none" w:sz="0" w:space="0" w:color="auto"/>
      </w:divBdr>
    </w:div>
    <w:div w:id="527330176">
      <w:bodyDiv w:val="1"/>
      <w:marLeft w:val="0"/>
      <w:marRight w:val="0"/>
      <w:marTop w:val="0"/>
      <w:marBottom w:val="0"/>
      <w:divBdr>
        <w:top w:val="none" w:sz="0" w:space="0" w:color="auto"/>
        <w:left w:val="none" w:sz="0" w:space="0" w:color="auto"/>
        <w:bottom w:val="none" w:sz="0" w:space="0" w:color="auto"/>
        <w:right w:val="none" w:sz="0" w:space="0" w:color="auto"/>
      </w:divBdr>
    </w:div>
    <w:div w:id="529949991">
      <w:bodyDiv w:val="1"/>
      <w:marLeft w:val="0"/>
      <w:marRight w:val="0"/>
      <w:marTop w:val="0"/>
      <w:marBottom w:val="0"/>
      <w:divBdr>
        <w:top w:val="none" w:sz="0" w:space="0" w:color="auto"/>
        <w:left w:val="none" w:sz="0" w:space="0" w:color="auto"/>
        <w:bottom w:val="none" w:sz="0" w:space="0" w:color="auto"/>
        <w:right w:val="none" w:sz="0" w:space="0" w:color="auto"/>
      </w:divBdr>
    </w:div>
    <w:div w:id="558708108">
      <w:bodyDiv w:val="1"/>
      <w:marLeft w:val="0"/>
      <w:marRight w:val="0"/>
      <w:marTop w:val="0"/>
      <w:marBottom w:val="0"/>
      <w:divBdr>
        <w:top w:val="none" w:sz="0" w:space="0" w:color="auto"/>
        <w:left w:val="none" w:sz="0" w:space="0" w:color="auto"/>
        <w:bottom w:val="none" w:sz="0" w:space="0" w:color="auto"/>
        <w:right w:val="none" w:sz="0" w:space="0" w:color="auto"/>
      </w:divBdr>
    </w:div>
    <w:div w:id="561598971">
      <w:bodyDiv w:val="1"/>
      <w:marLeft w:val="0"/>
      <w:marRight w:val="0"/>
      <w:marTop w:val="0"/>
      <w:marBottom w:val="0"/>
      <w:divBdr>
        <w:top w:val="none" w:sz="0" w:space="0" w:color="auto"/>
        <w:left w:val="none" w:sz="0" w:space="0" w:color="auto"/>
        <w:bottom w:val="none" w:sz="0" w:space="0" w:color="auto"/>
        <w:right w:val="none" w:sz="0" w:space="0" w:color="auto"/>
      </w:divBdr>
    </w:div>
    <w:div w:id="563151375">
      <w:bodyDiv w:val="1"/>
      <w:marLeft w:val="0"/>
      <w:marRight w:val="0"/>
      <w:marTop w:val="0"/>
      <w:marBottom w:val="0"/>
      <w:divBdr>
        <w:top w:val="none" w:sz="0" w:space="0" w:color="auto"/>
        <w:left w:val="none" w:sz="0" w:space="0" w:color="auto"/>
        <w:bottom w:val="none" w:sz="0" w:space="0" w:color="auto"/>
        <w:right w:val="none" w:sz="0" w:space="0" w:color="auto"/>
      </w:divBdr>
    </w:div>
    <w:div w:id="639504915">
      <w:bodyDiv w:val="1"/>
      <w:marLeft w:val="0"/>
      <w:marRight w:val="0"/>
      <w:marTop w:val="0"/>
      <w:marBottom w:val="0"/>
      <w:divBdr>
        <w:top w:val="none" w:sz="0" w:space="0" w:color="auto"/>
        <w:left w:val="none" w:sz="0" w:space="0" w:color="auto"/>
        <w:bottom w:val="none" w:sz="0" w:space="0" w:color="auto"/>
        <w:right w:val="none" w:sz="0" w:space="0" w:color="auto"/>
      </w:divBdr>
    </w:div>
    <w:div w:id="668948989">
      <w:bodyDiv w:val="1"/>
      <w:marLeft w:val="0"/>
      <w:marRight w:val="0"/>
      <w:marTop w:val="0"/>
      <w:marBottom w:val="0"/>
      <w:divBdr>
        <w:top w:val="none" w:sz="0" w:space="0" w:color="auto"/>
        <w:left w:val="none" w:sz="0" w:space="0" w:color="auto"/>
        <w:bottom w:val="none" w:sz="0" w:space="0" w:color="auto"/>
        <w:right w:val="none" w:sz="0" w:space="0" w:color="auto"/>
      </w:divBdr>
    </w:div>
    <w:div w:id="675956858">
      <w:bodyDiv w:val="1"/>
      <w:marLeft w:val="0"/>
      <w:marRight w:val="0"/>
      <w:marTop w:val="0"/>
      <w:marBottom w:val="0"/>
      <w:divBdr>
        <w:top w:val="none" w:sz="0" w:space="0" w:color="auto"/>
        <w:left w:val="none" w:sz="0" w:space="0" w:color="auto"/>
        <w:bottom w:val="none" w:sz="0" w:space="0" w:color="auto"/>
        <w:right w:val="none" w:sz="0" w:space="0" w:color="auto"/>
      </w:divBdr>
    </w:div>
    <w:div w:id="683290361">
      <w:bodyDiv w:val="1"/>
      <w:marLeft w:val="0"/>
      <w:marRight w:val="0"/>
      <w:marTop w:val="0"/>
      <w:marBottom w:val="0"/>
      <w:divBdr>
        <w:top w:val="none" w:sz="0" w:space="0" w:color="auto"/>
        <w:left w:val="none" w:sz="0" w:space="0" w:color="auto"/>
        <w:bottom w:val="none" w:sz="0" w:space="0" w:color="auto"/>
        <w:right w:val="none" w:sz="0" w:space="0" w:color="auto"/>
      </w:divBdr>
    </w:div>
    <w:div w:id="711687520">
      <w:bodyDiv w:val="1"/>
      <w:marLeft w:val="0"/>
      <w:marRight w:val="0"/>
      <w:marTop w:val="0"/>
      <w:marBottom w:val="0"/>
      <w:divBdr>
        <w:top w:val="none" w:sz="0" w:space="0" w:color="auto"/>
        <w:left w:val="none" w:sz="0" w:space="0" w:color="auto"/>
        <w:bottom w:val="none" w:sz="0" w:space="0" w:color="auto"/>
        <w:right w:val="none" w:sz="0" w:space="0" w:color="auto"/>
      </w:divBdr>
    </w:div>
    <w:div w:id="727807396">
      <w:bodyDiv w:val="1"/>
      <w:marLeft w:val="0"/>
      <w:marRight w:val="0"/>
      <w:marTop w:val="0"/>
      <w:marBottom w:val="0"/>
      <w:divBdr>
        <w:top w:val="none" w:sz="0" w:space="0" w:color="auto"/>
        <w:left w:val="none" w:sz="0" w:space="0" w:color="auto"/>
        <w:bottom w:val="none" w:sz="0" w:space="0" w:color="auto"/>
        <w:right w:val="none" w:sz="0" w:space="0" w:color="auto"/>
      </w:divBdr>
    </w:div>
    <w:div w:id="729156480">
      <w:bodyDiv w:val="1"/>
      <w:marLeft w:val="0"/>
      <w:marRight w:val="0"/>
      <w:marTop w:val="0"/>
      <w:marBottom w:val="0"/>
      <w:divBdr>
        <w:top w:val="none" w:sz="0" w:space="0" w:color="auto"/>
        <w:left w:val="none" w:sz="0" w:space="0" w:color="auto"/>
        <w:bottom w:val="none" w:sz="0" w:space="0" w:color="auto"/>
        <w:right w:val="none" w:sz="0" w:space="0" w:color="auto"/>
      </w:divBdr>
    </w:div>
    <w:div w:id="741105273">
      <w:bodyDiv w:val="1"/>
      <w:marLeft w:val="0"/>
      <w:marRight w:val="0"/>
      <w:marTop w:val="0"/>
      <w:marBottom w:val="0"/>
      <w:divBdr>
        <w:top w:val="none" w:sz="0" w:space="0" w:color="auto"/>
        <w:left w:val="none" w:sz="0" w:space="0" w:color="auto"/>
        <w:bottom w:val="none" w:sz="0" w:space="0" w:color="auto"/>
        <w:right w:val="none" w:sz="0" w:space="0" w:color="auto"/>
      </w:divBdr>
    </w:div>
    <w:div w:id="744450002">
      <w:bodyDiv w:val="1"/>
      <w:marLeft w:val="0"/>
      <w:marRight w:val="0"/>
      <w:marTop w:val="0"/>
      <w:marBottom w:val="0"/>
      <w:divBdr>
        <w:top w:val="none" w:sz="0" w:space="0" w:color="auto"/>
        <w:left w:val="none" w:sz="0" w:space="0" w:color="auto"/>
        <w:bottom w:val="none" w:sz="0" w:space="0" w:color="auto"/>
        <w:right w:val="none" w:sz="0" w:space="0" w:color="auto"/>
      </w:divBdr>
    </w:div>
    <w:div w:id="781653236">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785664440">
      <w:bodyDiv w:val="1"/>
      <w:marLeft w:val="0"/>
      <w:marRight w:val="0"/>
      <w:marTop w:val="0"/>
      <w:marBottom w:val="0"/>
      <w:divBdr>
        <w:top w:val="none" w:sz="0" w:space="0" w:color="auto"/>
        <w:left w:val="none" w:sz="0" w:space="0" w:color="auto"/>
        <w:bottom w:val="none" w:sz="0" w:space="0" w:color="auto"/>
        <w:right w:val="none" w:sz="0" w:space="0" w:color="auto"/>
      </w:divBdr>
    </w:div>
    <w:div w:id="789400250">
      <w:bodyDiv w:val="1"/>
      <w:marLeft w:val="0"/>
      <w:marRight w:val="0"/>
      <w:marTop w:val="0"/>
      <w:marBottom w:val="0"/>
      <w:divBdr>
        <w:top w:val="none" w:sz="0" w:space="0" w:color="auto"/>
        <w:left w:val="none" w:sz="0" w:space="0" w:color="auto"/>
        <w:bottom w:val="none" w:sz="0" w:space="0" w:color="auto"/>
        <w:right w:val="none" w:sz="0" w:space="0" w:color="auto"/>
      </w:divBdr>
    </w:div>
    <w:div w:id="789979621">
      <w:bodyDiv w:val="1"/>
      <w:marLeft w:val="0"/>
      <w:marRight w:val="0"/>
      <w:marTop w:val="0"/>
      <w:marBottom w:val="0"/>
      <w:divBdr>
        <w:top w:val="none" w:sz="0" w:space="0" w:color="auto"/>
        <w:left w:val="none" w:sz="0" w:space="0" w:color="auto"/>
        <w:bottom w:val="none" w:sz="0" w:space="0" w:color="auto"/>
        <w:right w:val="none" w:sz="0" w:space="0" w:color="auto"/>
      </w:divBdr>
    </w:div>
    <w:div w:id="811292298">
      <w:bodyDiv w:val="1"/>
      <w:marLeft w:val="0"/>
      <w:marRight w:val="0"/>
      <w:marTop w:val="0"/>
      <w:marBottom w:val="0"/>
      <w:divBdr>
        <w:top w:val="none" w:sz="0" w:space="0" w:color="auto"/>
        <w:left w:val="none" w:sz="0" w:space="0" w:color="auto"/>
        <w:bottom w:val="none" w:sz="0" w:space="0" w:color="auto"/>
        <w:right w:val="none" w:sz="0" w:space="0" w:color="auto"/>
      </w:divBdr>
    </w:div>
    <w:div w:id="846939935">
      <w:bodyDiv w:val="1"/>
      <w:marLeft w:val="0"/>
      <w:marRight w:val="0"/>
      <w:marTop w:val="0"/>
      <w:marBottom w:val="0"/>
      <w:divBdr>
        <w:top w:val="none" w:sz="0" w:space="0" w:color="auto"/>
        <w:left w:val="none" w:sz="0" w:space="0" w:color="auto"/>
        <w:bottom w:val="none" w:sz="0" w:space="0" w:color="auto"/>
        <w:right w:val="none" w:sz="0" w:space="0" w:color="auto"/>
      </w:divBdr>
    </w:div>
    <w:div w:id="872117522">
      <w:bodyDiv w:val="1"/>
      <w:marLeft w:val="0"/>
      <w:marRight w:val="0"/>
      <w:marTop w:val="0"/>
      <w:marBottom w:val="0"/>
      <w:divBdr>
        <w:top w:val="none" w:sz="0" w:space="0" w:color="auto"/>
        <w:left w:val="none" w:sz="0" w:space="0" w:color="auto"/>
        <w:bottom w:val="none" w:sz="0" w:space="0" w:color="auto"/>
        <w:right w:val="none" w:sz="0" w:space="0" w:color="auto"/>
      </w:divBdr>
    </w:div>
    <w:div w:id="872888034">
      <w:bodyDiv w:val="1"/>
      <w:marLeft w:val="0"/>
      <w:marRight w:val="0"/>
      <w:marTop w:val="0"/>
      <w:marBottom w:val="0"/>
      <w:divBdr>
        <w:top w:val="none" w:sz="0" w:space="0" w:color="auto"/>
        <w:left w:val="none" w:sz="0" w:space="0" w:color="auto"/>
        <w:bottom w:val="none" w:sz="0" w:space="0" w:color="auto"/>
        <w:right w:val="none" w:sz="0" w:space="0" w:color="auto"/>
      </w:divBdr>
    </w:div>
    <w:div w:id="901447803">
      <w:bodyDiv w:val="1"/>
      <w:marLeft w:val="0"/>
      <w:marRight w:val="0"/>
      <w:marTop w:val="0"/>
      <w:marBottom w:val="0"/>
      <w:divBdr>
        <w:top w:val="none" w:sz="0" w:space="0" w:color="auto"/>
        <w:left w:val="none" w:sz="0" w:space="0" w:color="auto"/>
        <w:bottom w:val="none" w:sz="0" w:space="0" w:color="auto"/>
        <w:right w:val="none" w:sz="0" w:space="0" w:color="auto"/>
      </w:divBdr>
    </w:div>
    <w:div w:id="929316958">
      <w:bodyDiv w:val="1"/>
      <w:marLeft w:val="0"/>
      <w:marRight w:val="0"/>
      <w:marTop w:val="0"/>
      <w:marBottom w:val="0"/>
      <w:divBdr>
        <w:top w:val="none" w:sz="0" w:space="0" w:color="auto"/>
        <w:left w:val="none" w:sz="0" w:space="0" w:color="auto"/>
        <w:bottom w:val="none" w:sz="0" w:space="0" w:color="auto"/>
        <w:right w:val="none" w:sz="0" w:space="0" w:color="auto"/>
      </w:divBdr>
    </w:div>
    <w:div w:id="929510230">
      <w:bodyDiv w:val="1"/>
      <w:marLeft w:val="0"/>
      <w:marRight w:val="0"/>
      <w:marTop w:val="0"/>
      <w:marBottom w:val="0"/>
      <w:divBdr>
        <w:top w:val="none" w:sz="0" w:space="0" w:color="auto"/>
        <w:left w:val="none" w:sz="0" w:space="0" w:color="auto"/>
        <w:bottom w:val="none" w:sz="0" w:space="0" w:color="auto"/>
        <w:right w:val="none" w:sz="0" w:space="0" w:color="auto"/>
      </w:divBdr>
    </w:div>
    <w:div w:id="946542886">
      <w:bodyDiv w:val="1"/>
      <w:marLeft w:val="0"/>
      <w:marRight w:val="0"/>
      <w:marTop w:val="0"/>
      <w:marBottom w:val="0"/>
      <w:divBdr>
        <w:top w:val="none" w:sz="0" w:space="0" w:color="auto"/>
        <w:left w:val="none" w:sz="0" w:space="0" w:color="auto"/>
        <w:bottom w:val="none" w:sz="0" w:space="0" w:color="auto"/>
        <w:right w:val="none" w:sz="0" w:space="0" w:color="auto"/>
      </w:divBdr>
    </w:div>
    <w:div w:id="961032898">
      <w:bodyDiv w:val="1"/>
      <w:marLeft w:val="0"/>
      <w:marRight w:val="0"/>
      <w:marTop w:val="0"/>
      <w:marBottom w:val="0"/>
      <w:divBdr>
        <w:top w:val="none" w:sz="0" w:space="0" w:color="auto"/>
        <w:left w:val="none" w:sz="0" w:space="0" w:color="auto"/>
        <w:bottom w:val="none" w:sz="0" w:space="0" w:color="auto"/>
        <w:right w:val="none" w:sz="0" w:space="0" w:color="auto"/>
      </w:divBdr>
    </w:div>
    <w:div w:id="975139999">
      <w:bodyDiv w:val="1"/>
      <w:marLeft w:val="0"/>
      <w:marRight w:val="0"/>
      <w:marTop w:val="0"/>
      <w:marBottom w:val="0"/>
      <w:divBdr>
        <w:top w:val="none" w:sz="0" w:space="0" w:color="auto"/>
        <w:left w:val="none" w:sz="0" w:space="0" w:color="auto"/>
        <w:bottom w:val="none" w:sz="0" w:space="0" w:color="auto"/>
        <w:right w:val="none" w:sz="0" w:space="0" w:color="auto"/>
      </w:divBdr>
    </w:div>
    <w:div w:id="994722565">
      <w:bodyDiv w:val="1"/>
      <w:marLeft w:val="0"/>
      <w:marRight w:val="0"/>
      <w:marTop w:val="0"/>
      <w:marBottom w:val="0"/>
      <w:divBdr>
        <w:top w:val="none" w:sz="0" w:space="0" w:color="auto"/>
        <w:left w:val="none" w:sz="0" w:space="0" w:color="auto"/>
        <w:bottom w:val="none" w:sz="0" w:space="0" w:color="auto"/>
        <w:right w:val="none" w:sz="0" w:space="0" w:color="auto"/>
      </w:divBdr>
    </w:div>
    <w:div w:id="1005282891">
      <w:bodyDiv w:val="1"/>
      <w:marLeft w:val="0"/>
      <w:marRight w:val="0"/>
      <w:marTop w:val="0"/>
      <w:marBottom w:val="0"/>
      <w:divBdr>
        <w:top w:val="none" w:sz="0" w:space="0" w:color="auto"/>
        <w:left w:val="none" w:sz="0" w:space="0" w:color="auto"/>
        <w:bottom w:val="none" w:sz="0" w:space="0" w:color="auto"/>
        <w:right w:val="none" w:sz="0" w:space="0" w:color="auto"/>
      </w:divBdr>
    </w:div>
    <w:div w:id="1024743826">
      <w:bodyDiv w:val="1"/>
      <w:marLeft w:val="0"/>
      <w:marRight w:val="0"/>
      <w:marTop w:val="0"/>
      <w:marBottom w:val="0"/>
      <w:divBdr>
        <w:top w:val="none" w:sz="0" w:space="0" w:color="auto"/>
        <w:left w:val="none" w:sz="0" w:space="0" w:color="auto"/>
        <w:bottom w:val="none" w:sz="0" w:space="0" w:color="auto"/>
        <w:right w:val="none" w:sz="0" w:space="0" w:color="auto"/>
      </w:divBdr>
    </w:div>
    <w:div w:id="1028144803">
      <w:bodyDiv w:val="1"/>
      <w:marLeft w:val="0"/>
      <w:marRight w:val="0"/>
      <w:marTop w:val="0"/>
      <w:marBottom w:val="0"/>
      <w:divBdr>
        <w:top w:val="none" w:sz="0" w:space="0" w:color="auto"/>
        <w:left w:val="none" w:sz="0" w:space="0" w:color="auto"/>
        <w:bottom w:val="none" w:sz="0" w:space="0" w:color="auto"/>
        <w:right w:val="none" w:sz="0" w:space="0" w:color="auto"/>
      </w:divBdr>
    </w:div>
    <w:div w:id="1062412716">
      <w:bodyDiv w:val="1"/>
      <w:marLeft w:val="0"/>
      <w:marRight w:val="0"/>
      <w:marTop w:val="0"/>
      <w:marBottom w:val="0"/>
      <w:divBdr>
        <w:top w:val="none" w:sz="0" w:space="0" w:color="auto"/>
        <w:left w:val="none" w:sz="0" w:space="0" w:color="auto"/>
        <w:bottom w:val="none" w:sz="0" w:space="0" w:color="auto"/>
        <w:right w:val="none" w:sz="0" w:space="0" w:color="auto"/>
      </w:divBdr>
    </w:div>
    <w:div w:id="1070350665">
      <w:bodyDiv w:val="1"/>
      <w:marLeft w:val="0"/>
      <w:marRight w:val="0"/>
      <w:marTop w:val="0"/>
      <w:marBottom w:val="0"/>
      <w:divBdr>
        <w:top w:val="none" w:sz="0" w:space="0" w:color="auto"/>
        <w:left w:val="none" w:sz="0" w:space="0" w:color="auto"/>
        <w:bottom w:val="none" w:sz="0" w:space="0" w:color="auto"/>
        <w:right w:val="none" w:sz="0" w:space="0" w:color="auto"/>
      </w:divBdr>
    </w:div>
    <w:div w:id="1072898212">
      <w:bodyDiv w:val="1"/>
      <w:marLeft w:val="0"/>
      <w:marRight w:val="0"/>
      <w:marTop w:val="0"/>
      <w:marBottom w:val="0"/>
      <w:divBdr>
        <w:top w:val="none" w:sz="0" w:space="0" w:color="auto"/>
        <w:left w:val="none" w:sz="0" w:space="0" w:color="auto"/>
        <w:bottom w:val="none" w:sz="0" w:space="0" w:color="auto"/>
        <w:right w:val="none" w:sz="0" w:space="0" w:color="auto"/>
      </w:divBdr>
    </w:div>
    <w:div w:id="1075736917">
      <w:bodyDiv w:val="1"/>
      <w:marLeft w:val="0"/>
      <w:marRight w:val="0"/>
      <w:marTop w:val="0"/>
      <w:marBottom w:val="0"/>
      <w:divBdr>
        <w:top w:val="none" w:sz="0" w:space="0" w:color="auto"/>
        <w:left w:val="none" w:sz="0" w:space="0" w:color="auto"/>
        <w:bottom w:val="none" w:sz="0" w:space="0" w:color="auto"/>
        <w:right w:val="none" w:sz="0" w:space="0" w:color="auto"/>
      </w:divBdr>
    </w:div>
    <w:div w:id="1118261082">
      <w:bodyDiv w:val="1"/>
      <w:marLeft w:val="0"/>
      <w:marRight w:val="0"/>
      <w:marTop w:val="0"/>
      <w:marBottom w:val="0"/>
      <w:divBdr>
        <w:top w:val="none" w:sz="0" w:space="0" w:color="auto"/>
        <w:left w:val="none" w:sz="0" w:space="0" w:color="auto"/>
        <w:bottom w:val="none" w:sz="0" w:space="0" w:color="auto"/>
        <w:right w:val="none" w:sz="0" w:space="0" w:color="auto"/>
      </w:divBdr>
    </w:div>
    <w:div w:id="1139302083">
      <w:bodyDiv w:val="1"/>
      <w:marLeft w:val="0"/>
      <w:marRight w:val="0"/>
      <w:marTop w:val="0"/>
      <w:marBottom w:val="0"/>
      <w:divBdr>
        <w:top w:val="none" w:sz="0" w:space="0" w:color="auto"/>
        <w:left w:val="none" w:sz="0" w:space="0" w:color="auto"/>
        <w:bottom w:val="none" w:sz="0" w:space="0" w:color="auto"/>
        <w:right w:val="none" w:sz="0" w:space="0" w:color="auto"/>
      </w:divBdr>
    </w:div>
    <w:div w:id="1141115278">
      <w:bodyDiv w:val="1"/>
      <w:marLeft w:val="0"/>
      <w:marRight w:val="0"/>
      <w:marTop w:val="0"/>
      <w:marBottom w:val="0"/>
      <w:divBdr>
        <w:top w:val="none" w:sz="0" w:space="0" w:color="auto"/>
        <w:left w:val="none" w:sz="0" w:space="0" w:color="auto"/>
        <w:bottom w:val="none" w:sz="0" w:space="0" w:color="auto"/>
        <w:right w:val="none" w:sz="0" w:space="0" w:color="auto"/>
      </w:divBdr>
    </w:div>
    <w:div w:id="1161316924">
      <w:bodyDiv w:val="1"/>
      <w:marLeft w:val="0"/>
      <w:marRight w:val="0"/>
      <w:marTop w:val="0"/>
      <w:marBottom w:val="0"/>
      <w:divBdr>
        <w:top w:val="none" w:sz="0" w:space="0" w:color="auto"/>
        <w:left w:val="none" w:sz="0" w:space="0" w:color="auto"/>
        <w:bottom w:val="none" w:sz="0" w:space="0" w:color="auto"/>
        <w:right w:val="none" w:sz="0" w:space="0" w:color="auto"/>
      </w:divBdr>
    </w:div>
    <w:div w:id="1165361154">
      <w:bodyDiv w:val="1"/>
      <w:marLeft w:val="0"/>
      <w:marRight w:val="0"/>
      <w:marTop w:val="0"/>
      <w:marBottom w:val="0"/>
      <w:divBdr>
        <w:top w:val="none" w:sz="0" w:space="0" w:color="auto"/>
        <w:left w:val="none" w:sz="0" w:space="0" w:color="auto"/>
        <w:bottom w:val="none" w:sz="0" w:space="0" w:color="auto"/>
        <w:right w:val="none" w:sz="0" w:space="0" w:color="auto"/>
      </w:divBdr>
    </w:div>
    <w:div w:id="1167208067">
      <w:bodyDiv w:val="1"/>
      <w:marLeft w:val="0"/>
      <w:marRight w:val="0"/>
      <w:marTop w:val="0"/>
      <w:marBottom w:val="0"/>
      <w:divBdr>
        <w:top w:val="none" w:sz="0" w:space="0" w:color="auto"/>
        <w:left w:val="none" w:sz="0" w:space="0" w:color="auto"/>
        <w:bottom w:val="none" w:sz="0" w:space="0" w:color="auto"/>
        <w:right w:val="none" w:sz="0" w:space="0" w:color="auto"/>
      </w:divBdr>
    </w:div>
    <w:div w:id="1182207096">
      <w:bodyDiv w:val="1"/>
      <w:marLeft w:val="0"/>
      <w:marRight w:val="0"/>
      <w:marTop w:val="0"/>
      <w:marBottom w:val="0"/>
      <w:divBdr>
        <w:top w:val="none" w:sz="0" w:space="0" w:color="auto"/>
        <w:left w:val="none" w:sz="0" w:space="0" w:color="auto"/>
        <w:bottom w:val="none" w:sz="0" w:space="0" w:color="auto"/>
        <w:right w:val="none" w:sz="0" w:space="0" w:color="auto"/>
      </w:divBdr>
    </w:div>
    <w:div w:id="1189685193">
      <w:bodyDiv w:val="1"/>
      <w:marLeft w:val="0"/>
      <w:marRight w:val="0"/>
      <w:marTop w:val="0"/>
      <w:marBottom w:val="0"/>
      <w:divBdr>
        <w:top w:val="none" w:sz="0" w:space="0" w:color="auto"/>
        <w:left w:val="none" w:sz="0" w:space="0" w:color="auto"/>
        <w:bottom w:val="none" w:sz="0" w:space="0" w:color="auto"/>
        <w:right w:val="none" w:sz="0" w:space="0" w:color="auto"/>
      </w:divBdr>
    </w:div>
    <w:div w:id="1208180112">
      <w:bodyDiv w:val="1"/>
      <w:marLeft w:val="0"/>
      <w:marRight w:val="0"/>
      <w:marTop w:val="0"/>
      <w:marBottom w:val="0"/>
      <w:divBdr>
        <w:top w:val="none" w:sz="0" w:space="0" w:color="auto"/>
        <w:left w:val="none" w:sz="0" w:space="0" w:color="auto"/>
        <w:bottom w:val="none" w:sz="0" w:space="0" w:color="auto"/>
        <w:right w:val="none" w:sz="0" w:space="0" w:color="auto"/>
      </w:divBdr>
    </w:div>
    <w:div w:id="1212618139">
      <w:bodyDiv w:val="1"/>
      <w:marLeft w:val="0"/>
      <w:marRight w:val="0"/>
      <w:marTop w:val="0"/>
      <w:marBottom w:val="0"/>
      <w:divBdr>
        <w:top w:val="none" w:sz="0" w:space="0" w:color="auto"/>
        <w:left w:val="none" w:sz="0" w:space="0" w:color="auto"/>
        <w:bottom w:val="none" w:sz="0" w:space="0" w:color="auto"/>
        <w:right w:val="none" w:sz="0" w:space="0" w:color="auto"/>
      </w:divBdr>
    </w:div>
    <w:div w:id="1241983090">
      <w:bodyDiv w:val="1"/>
      <w:marLeft w:val="0"/>
      <w:marRight w:val="0"/>
      <w:marTop w:val="0"/>
      <w:marBottom w:val="0"/>
      <w:divBdr>
        <w:top w:val="none" w:sz="0" w:space="0" w:color="auto"/>
        <w:left w:val="none" w:sz="0" w:space="0" w:color="auto"/>
        <w:bottom w:val="none" w:sz="0" w:space="0" w:color="auto"/>
        <w:right w:val="none" w:sz="0" w:space="0" w:color="auto"/>
      </w:divBdr>
    </w:div>
    <w:div w:id="1256868228">
      <w:bodyDiv w:val="1"/>
      <w:marLeft w:val="0"/>
      <w:marRight w:val="0"/>
      <w:marTop w:val="0"/>
      <w:marBottom w:val="0"/>
      <w:divBdr>
        <w:top w:val="none" w:sz="0" w:space="0" w:color="auto"/>
        <w:left w:val="none" w:sz="0" w:space="0" w:color="auto"/>
        <w:bottom w:val="none" w:sz="0" w:space="0" w:color="auto"/>
        <w:right w:val="none" w:sz="0" w:space="0" w:color="auto"/>
      </w:divBdr>
    </w:div>
    <w:div w:id="1276911014">
      <w:bodyDiv w:val="1"/>
      <w:marLeft w:val="0"/>
      <w:marRight w:val="0"/>
      <w:marTop w:val="0"/>
      <w:marBottom w:val="0"/>
      <w:divBdr>
        <w:top w:val="none" w:sz="0" w:space="0" w:color="auto"/>
        <w:left w:val="none" w:sz="0" w:space="0" w:color="auto"/>
        <w:bottom w:val="none" w:sz="0" w:space="0" w:color="auto"/>
        <w:right w:val="none" w:sz="0" w:space="0" w:color="auto"/>
      </w:divBdr>
    </w:div>
    <w:div w:id="1302004679">
      <w:bodyDiv w:val="1"/>
      <w:marLeft w:val="0"/>
      <w:marRight w:val="0"/>
      <w:marTop w:val="0"/>
      <w:marBottom w:val="0"/>
      <w:divBdr>
        <w:top w:val="none" w:sz="0" w:space="0" w:color="auto"/>
        <w:left w:val="none" w:sz="0" w:space="0" w:color="auto"/>
        <w:bottom w:val="none" w:sz="0" w:space="0" w:color="auto"/>
        <w:right w:val="none" w:sz="0" w:space="0" w:color="auto"/>
      </w:divBdr>
    </w:div>
    <w:div w:id="1303970830">
      <w:bodyDiv w:val="1"/>
      <w:marLeft w:val="0"/>
      <w:marRight w:val="0"/>
      <w:marTop w:val="0"/>
      <w:marBottom w:val="0"/>
      <w:divBdr>
        <w:top w:val="none" w:sz="0" w:space="0" w:color="auto"/>
        <w:left w:val="none" w:sz="0" w:space="0" w:color="auto"/>
        <w:bottom w:val="none" w:sz="0" w:space="0" w:color="auto"/>
        <w:right w:val="none" w:sz="0" w:space="0" w:color="auto"/>
      </w:divBdr>
    </w:div>
    <w:div w:id="1312370746">
      <w:bodyDiv w:val="1"/>
      <w:marLeft w:val="0"/>
      <w:marRight w:val="0"/>
      <w:marTop w:val="0"/>
      <w:marBottom w:val="0"/>
      <w:divBdr>
        <w:top w:val="none" w:sz="0" w:space="0" w:color="auto"/>
        <w:left w:val="none" w:sz="0" w:space="0" w:color="auto"/>
        <w:bottom w:val="none" w:sz="0" w:space="0" w:color="auto"/>
        <w:right w:val="none" w:sz="0" w:space="0" w:color="auto"/>
      </w:divBdr>
    </w:div>
    <w:div w:id="1346398552">
      <w:bodyDiv w:val="1"/>
      <w:marLeft w:val="0"/>
      <w:marRight w:val="0"/>
      <w:marTop w:val="0"/>
      <w:marBottom w:val="0"/>
      <w:divBdr>
        <w:top w:val="none" w:sz="0" w:space="0" w:color="auto"/>
        <w:left w:val="none" w:sz="0" w:space="0" w:color="auto"/>
        <w:bottom w:val="none" w:sz="0" w:space="0" w:color="auto"/>
        <w:right w:val="none" w:sz="0" w:space="0" w:color="auto"/>
      </w:divBdr>
    </w:div>
    <w:div w:id="1371030726">
      <w:bodyDiv w:val="1"/>
      <w:marLeft w:val="0"/>
      <w:marRight w:val="0"/>
      <w:marTop w:val="0"/>
      <w:marBottom w:val="0"/>
      <w:divBdr>
        <w:top w:val="none" w:sz="0" w:space="0" w:color="auto"/>
        <w:left w:val="none" w:sz="0" w:space="0" w:color="auto"/>
        <w:bottom w:val="none" w:sz="0" w:space="0" w:color="auto"/>
        <w:right w:val="none" w:sz="0" w:space="0" w:color="auto"/>
      </w:divBdr>
    </w:div>
    <w:div w:id="1377310911">
      <w:bodyDiv w:val="1"/>
      <w:marLeft w:val="0"/>
      <w:marRight w:val="0"/>
      <w:marTop w:val="0"/>
      <w:marBottom w:val="0"/>
      <w:divBdr>
        <w:top w:val="none" w:sz="0" w:space="0" w:color="auto"/>
        <w:left w:val="none" w:sz="0" w:space="0" w:color="auto"/>
        <w:bottom w:val="none" w:sz="0" w:space="0" w:color="auto"/>
        <w:right w:val="none" w:sz="0" w:space="0" w:color="auto"/>
      </w:divBdr>
    </w:div>
    <w:div w:id="1381788868">
      <w:bodyDiv w:val="1"/>
      <w:marLeft w:val="0"/>
      <w:marRight w:val="0"/>
      <w:marTop w:val="0"/>
      <w:marBottom w:val="0"/>
      <w:divBdr>
        <w:top w:val="none" w:sz="0" w:space="0" w:color="auto"/>
        <w:left w:val="none" w:sz="0" w:space="0" w:color="auto"/>
        <w:bottom w:val="none" w:sz="0" w:space="0" w:color="auto"/>
        <w:right w:val="none" w:sz="0" w:space="0" w:color="auto"/>
      </w:divBdr>
    </w:div>
    <w:div w:id="1409621270">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415200062">
      <w:bodyDiv w:val="1"/>
      <w:marLeft w:val="0"/>
      <w:marRight w:val="0"/>
      <w:marTop w:val="0"/>
      <w:marBottom w:val="0"/>
      <w:divBdr>
        <w:top w:val="none" w:sz="0" w:space="0" w:color="auto"/>
        <w:left w:val="none" w:sz="0" w:space="0" w:color="auto"/>
        <w:bottom w:val="none" w:sz="0" w:space="0" w:color="auto"/>
        <w:right w:val="none" w:sz="0" w:space="0" w:color="auto"/>
      </w:divBdr>
    </w:div>
    <w:div w:id="1418554225">
      <w:bodyDiv w:val="1"/>
      <w:marLeft w:val="0"/>
      <w:marRight w:val="0"/>
      <w:marTop w:val="0"/>
      <w:marBottom w:val="0"/>
      <w:divBdr>
        <w:top w:val="none" w:sz="0" w:space="0" w:color="auto"/>
        <w:left w:val="none" w:sz="0" w:space="0" w:color="auto"/>
        <w:bottom w:val="none" w:sz="0" w:space="0" w:color="auto"/>
        <w:right w:val="none" w:sz="0" w:space="0" w:color="auto"/>
      </w:divBdr>
    </w:div>
    <w:div w:id="1428844132">
      <w:bodyDiv w:val="1"/>
      <w:marLeft w:val="0"/>
      <w:marRight w:val="0"/>
      <w:marTop w:val="0"/>
      <w:marBottom w:val="0"/>
      <w:divBdr>
        <w:top w:val="none" w:sz="0" w:space="0" w:color="auto"/>
        <w:left w:val="none" w:sz="0" w:space="0" w:color="auto"/>
        <w:bottom w:val="none" w:sz="0" w:space="0" w:color="auto"/>
        <w:right w:val="none" w:sz="0" w:space="0" w:color="auto"/>
      </w:divBdr>
    </w:div>
    <w:div w:id="1447115219">
      <w:bodyDiv w:val="1"/>
      <w:marLeft w:val="0"/>
      <w:marRight w:val="0"/>
      <w:marTop w:val="0"/>
      <w:marBottom w:val="0"/>
      <w:divBdr>
        <w:top w:val="none" w:sz="0" w:space="0" w:color="auto"/>
        <w:left w:val="none" w:sz="0" w:space="0" w:color="auto"/>
        <w:bottom w:val="none" w:sz="0" w:space="0" w:color="auto"/>
        <w:right w:val="none" w:sz="0" w:space="0" w:color="auto"/>
      </w:divBdr>
    </w:div>
    <w:div w:id="1458721675">
      <w:bodyDiv w:val="1"/>
      <w:marLeft w:val="0"/>
      <w:marRight w:val="0"/>
      <w:marTop w:val="0"/>
      <w:marBottom w:val="0"/>
      <w:divBdr>
        <w:top w:val="none" w:sz="0" w:space="0" w:color="auto"/>
        <w:left w:val="none" w:sz="0" w:space="0" w:color="auto"/>
        <w:bottom w:val="none" w:sz="0" w:space="0" w:color="auto"/>
        <w:right w:val="none" w:sz="0" w:space="0" w:color="auto"/>
      </w:divBdr>
    </w:div>
    <w:div w:id="1480684399">
      <w:bodyDiv w:val="1"/>
      <w:marLeft w:val="0"/>
      <w:marRight w:val="0"/>
      <w:marTop w:val="0"/>
      <w:marBottom w:val="0"/>
      <w:divBdr>
        <w:top w:val="none" w:sz="0" w:space="0" w:color="auto"/>
        <w:left w:val="none" w:sz="0" w:space="0" w:color="auto"/>
        <w:bottom w:val="none" w:sz="0" w:space="0" w:color="auto"/>
        <w:right w:val="none" w:sz="0" w:space="0" w:color="auto"/>
      </w:divBdr>
    </w:div>
    <w:div w:id="1495414678">
      <w:bodyDiv w:val="1"/>
      <w:marLeft w:val="0"/>
      <w:marRight w:val="0"/>
      <w:marTop w:val="0"/>
      <w:marBottom w:val="0"/>
      <w:divBdr>
        <w:top w:val="none" w:sz="0" w:space="0" w:color="auto"/>
        <w:left w:val="none" w:sz="0" w:space="0" w:color="auto"/>
        <w:bottom w:val="none" w:sz="0" w:space="0" w:color="auto"/>
        <w:right w:val="none" w:sz="0" w:space="0" w:color="auto"/>
      </w:divBdr>
    </w:div>
    <w:div w:id="1500001303">
      <w:bodyDiv w:val="1"/>
      <w:marLeft w:val="0"/>
      <w:marRight w:val="0"/>
      <w:marTop w:val="0"/>
      <w:marBottom w:val="0"/>
      <w:divBdr>
        <w:top w:val="none" w:sz="0" w:space="0" w:color="auto"/>
        <w:left w:val="none" w:sz="0" w:space="0" w:color="auto"/>
        <w:bottom w:val="none" w:sz="0" w:space="0" w:color="auto"/>
        <w:right w:val="none" w:sz="0" w:space="0" w:color="auto"/>
      </w:divBdr>
    </w:div>
    <w:div w:id="1501038792">
      <w:bodyDiv w:val="1"/>
      <w:marLeft w:val="0"/>
      <w:marRight w:val="0"/>
      <w:marTop w:val="0"/>
      <w:marBottom w:val="0"/>
      <w:divBdr>
        <w:top w:val="none" w:sz="0" w:space="0" w:color="auto"/>
        <w:left w:val="none" w:sz="0" w:space="0" w:color="auto"/>
        <w:bottom w:val="none" w:sz="0" w:space="0" w:color="auto"/>
        <w:right w:val="none" w:sz="0" w:space="0" w:color="auto"/>
      </w:divBdr>
    </w:div>
    <w:div w:id="1504321594">
      <w:bodyDiv w:val="1"/>
      <w:marLeft w:val="0"/>
      <w:marRight w:val="0"/>
      <w:marTop w:val="0"/>
      <w:marBottom w:val="0"/>
      <w:divBdr>
        <w:top w:val="none" w:sz="0" w:space="0" w:color="auto"/>
        <w:left w:val="none" w:sz="0" w:space="0" w:color="auto"/>
        <w:bottom w:val="none" w:sz="0" w:space="0" w:color="auto"/>
        <w:right w:val="none" w:sz="0" w:space="0" w:color="auto"/>
      </w:divBdr>
    </w:div>
    <w:div w:id="1516729153">
      <w:bodyDiv w:val="1"/>
      <w:marLeft w:val="0"/>
      <w:marRight w:val="0"/>
      <w:marTop w:val="0"/>
      <w:marBottom w:val="0"/>
      <w:divBdr>
        <w:top w:val="none" w:sz="0" w:space="0" w:color="auto"/>
        <w:left w:val="none" w:sz="0" w:space="0" w:color="auto"/>
        <w:bottom w:val="none" w:sz="0" w:space="0" w:color="auto"/>
        <w:right w:val="none" w:sz="0" w:space="0" w:color="auto"/>
      </w:divBdr>
    </w:div>
    <w:div w:id="1521964853">
      <w:bodyDiv w:val="1"/>
      <w:marLeft w:val="0"/>
      <w:marRight w:val="0"/>
      <w:marTop w:val="0"/>
      <w:marBottom w:val="0"/>
      <w:divBdr>
        <w:top w:val="none" w:sz="0" w:space="0" w:color="auto"/>
        <w:left w:val="none" w:sz="0" w:space="0" w:color="auto"/>
        <w:bottom w:val="none" w:sz="0" w:space="0" w:color="auto"/>
        <w:right w:val="none" w:sz="0" w:space="0" w:color="auto"/>
      </w:divBdr>
    </w:div>
    <w:div w:id="1532524445">
      <w:bodyDiv w:val="1"/>
      <w:marLeft w:val="0"/>
      <w:marRight w:val="0"/>
      <w:marTop w:val="0"/>
      <w:marBottom w:val="0"/>
      <w:divBdr>
        <w:top w:val="none" w:sz="0" w:space="0" w:color="auto"/>
        <w:left w:val="none" w:sz="0" w:space="0" w:color="auto"/>
        <w:bottom w:val="none" w:sz="0" w:space="0" w:color="auto"/>
        <w:right w:val="none" w:sz="0" w:space="0" w:color="auto"/>
      </w:divBdr>
    </w:div>
    <w:div w:id="1561789874">
      <w:bodyDiv w:val="1"/>
      <w:marLeft w:val="0"/>
      <w:marRight w:val="0"/>
      <w:marTop w:val="0"/>
      <w:marBottom w:val="0"/>
      <w:divBdr>
        <w:top w:val="none" w:sz="0" w:space="0" w:color="auto"/>
        <w:left w:val="none" w:sz="0" w:space="0" w:color="auto"/>
        <w:bottom w:val="none" w:sz="0" w:space="0" w:color="auto"/>
        <w:right w:val="none" w:sz="0" w:space="0" w:color="auto"/>
      </w:divBdr>
    </w:div>
    <w:div w:id="1584291690">
      <w:bodyDiv w:val="1"/>
      <w:marLeft w:val="0"/>
      <w:marRight w:val="0"/>
      <w:marTop w:val="0"/>
      <w:marBottom w:val="0"/>
      <w:divBdr>
        <w:top w:val="none" w:sz="0" w:space="0" w:color="auto"/>
        <w:left w:val="none" w:sz="0" w:space="0" w:color="auto"/>
        <w:bottom w:val="none" w:sz="0" w:space="0" w:color="auto"/>
        <w:right w:val="none" w:sz="0" w:space="0" w:color="auto"/>
      </w:divBdr>
    </w:div>
    <w:div w:id="1596742599">
      <w:bodyDiv w:val="1"/>
      <w:marLeft w:val="0"/>
      <w:marRight w:val="0"/>
      <w:marTop w:val="0"/>
      <w:marBottom w:val="0"/>
      <w:divBdr>
        <w:top w:val="none" w:sz="0" w:space="0" w:color="auto"/>
        <w:left w:val="none" w:sz="0" w:space="0" w:color="auto"/>
        <w:bottom w:val="none" w:sz="0" w:space="0" w:color="auto"/>
        <w:right w:val="none" w:sz="0" w:space="0" w:color="auto"/>
      </w:divBdr>
    </w:div>
    <w:div w:id="1605452354">
      <w:bodyDiv w:val="1"/>
      <w:marLeft w:val="0"/>
      <w:marRight w:val="0"/>
      <w:marTop w:val="0"/>
      <w:marBottom w:val="0"/>
      <w:divBdr>
        <w:top w:val="none" w:sz="0" w:space="0" w:color="auto"/>
        <w:left w:val="none" w:sz="0" w:space="0" w:color="auto"/>
        <w:bottom w:val="none" w:sz="0" w:space="0" w:color="auto"/>
        <w:right w:val="none" w:sz="0" w:space="0" w:color="auto"/>
      </w:divBdr>
    </w:div>
    <w:div w:id="1605963502">
      <w:bodyDiv w:val="1"/>
      <w:marLeft w:val="0"/>
      <w:marRight w:val="0"/>
      <w:marTop w:val="0"/>
      <w:marBottom w:val="0"/>
      <w:divBdr>
        <w:top w:val="none" w:sz="0" w:space="0" w:color="auto"/>
        <w:left w:val="none" w:sz="0" w:space="0" w:color="auto"/>
        <w:bottom w:val="none" w:sz="0" w:space="0" w:color="auto"/>
        <w:right w:val="none" w:sz="0" w:space="0" w:color="auto"/>
      </w:divBdr>
    </w:div>
    <w:div w:id="1615208364">
      <w:bodyDiv w:val="1"/>
      <w:marLeft w:val="0"/>
      <w:marRight w:val="0"/>
      <w:marTop w:val="0"/>
      <w:marBottom w:val="0"/>
      <w:divBdr>
        <w:top w:val="none" w:sz="0" w:space="0" w:color="auto"/>
        <w:left w:val="none" w:sz="0" w:space="0" w:color="auto"/>
        <w:bottom w:val="none" w:sz="0" w:space="0" w:color="auto"/>
        <w:right w:val="none" w:sz="0" w:space="0" w:color="auto"/>
      </w:divBdr>
    </w:div>
    <w:div w:id="1625381146">
      <w:bodyDiv w:val="1"/>
      <w:marLeft w:val="0"/>
      <w:marRight w:val="0"/>
      <w:marTop w:val="0"/>
      <w:marBottom w:val="0"/>
      <w:divBdr>
        <w:top w:val="none" w:sz="0" w:space="0" w:color="auto"/>
        <w:left w:val="none" w:sz="0" w:space="0" w:color="auto"/>
        <w:bottom w:val="none" w:sz="0" w:space="0" w:color="auto"/>
        <w:right w:val="none" w:sz="0" w:space="0" w:color="auto"/>
      </w:divBdr>
    </w:div>
    <w:div w:id="1635714804">
      <w:bodyDiv w:val="1"/>
      <w:marLeft w:val="0"/>
      <w:marRight w:val="0"/>
      <w:marTop w:val="0"/>
      <w:marBottom w:val="0"/>
      <w:divBdr>
        <w:top w:val="none" w:sz="0" w:space="0" w:color="auto"/>
        <w:left w:val="none" w:sz="0" w:space="0" w:color="auto"/>
        <w:bottom w:val="none" w:sz="0" w:space="0" w:color="auto"/>
        <w:right w:val="none" w:sz="0" w:space="0" w:color="auto"/>
      </w:divBdr>
    </w:div>
    <w:div w:id="1639989964">
      <w:bodyDiv w:val="1"/>
      <w:marLeft w:val="0"/>
      <w:marRight w:val="0"/>
      <w:marTop w:val="0"/>
      <w:marBottom w:val="0"/>
      <w:divBdr>
        <w:top w:val="none" w:sz="0" w:space="0" w:color="auto"/>
        <w:left w:val="none" w:sz="0" w:space="0" w:color="auto"/>
        <w:bottom w:val="none" w:sz="0" w:space="0" w:color="auto"/>
        <w:right w:val="none" w:sz="0" w:space="0" w:color="auto"/>
      </w:divBdr>
    </w:div>
    <w:div w:id="1649163831">
      <w:bodyDiv w:val="1"/>
      <w:marLeft w:val="0"/>
      <w:marRight w:val="0"/>
      <w:marTop w:val="0"/>
      <w:marBottom w:val="0"/>
      <w:divBdr>
        <w:top w:val="none" w:sz="0" w:space="0" w:color="auto"/>
        <w:left w:val="none" w:sz="0" w:space="0" w:color="auto"/>
        <w:bottom w:val="none" w:sz="0" w:space="0" w:color="auto"/>
        <w:right w:val="none" w:sz="0" w:space="0" w:color="auto"/>
      </w:divBdr>
    </w:div>
    <w:div w:id="1672176364">
      <w:bodyDiv w:val="1"/>
      <w:marLeft w:val="0"/>
      <w:marRight w:val="0"/>
      <w:marTop w:val="0"/>
      <w:marBottom w:val="0"/>
      <w:divBdr>
        <w:top w:val="none" w:sz="0" w:space="0" w:color="auto"/>
        <w:left w:val="none" w:sz="0" w:space="0" w:color="auto"/>
        <w:bottom w:val="none" w:sz="0" w:space="0" w:color="auto"/>
        <w:right w:val="none" w:sz="0" w:space="0" w:color="auto"/>
      </w:divBdr>
    </w:div>
    <w:div w:id="1691492673">
      <w:bodyDiv w:val="1"/>
      <w:marLeft w:val="0"/>
      <w:marRight w:val="0"/>
      <w:marTop w:val="0"/>
      <w:marBottom w:val="0"/>
      <w:divBdr>
        <w:top w:val="none" w:sz="0" w:space="0" w:color="auto"/>
        <w:left w:val="none" w:sz="0" w:space="0" w:color="auto"/>
        <w:bottom w:val="none" w:sz="0" w:space="0" w:color="auto"/>
        <w:right w:val="none" w:sz="0" w:space="0" w:color="auto"/>
      </w:divBdr>
    </w:div>
    <w:div w:id="1702978493">
      <w:bodyDiv w:val="1"/>
      <w:marLeft w:val="0"/>
      <w:marRight w:val="0"/>
      <w:marTop w:val="0"/>
      <w:marBottom w:val="0"/>
      <w:divBdr>
        <w:top w:val="none" w:sz="0" w:space="0" w:color="auto"/>
        <w:left w:val="none" w:sz="0" w:space="0" w:color="auto"/>
        <w:bottom w:val="none" w:sz="0" w:space="0" w:color="auto"/>
        <w:right w:val="none" w:sz="0" w:space="0" w:color="auto"/>
      </w:divBdr>
    </w:div>
    <w:div w:id="1710452013">
      <w:bodyDiv w:val="1"/>
      <w:marLeft w:val="0"/>
      <w:marRight w:val="0"/>
      <w:marTop w:val="0"/>
      <w:marBottom w:val="0"/>
      <w:divBdr>
        <w:top w:val="none" w:sz="0" w:space="0" w:color="auto"/>
        <w:left w:val="none" w:sz="0" w:space="0" w:color="auto"/>
        <w:bottom w:val="none" w:sz="0" w:space="0" w:color="auto"/>
        <w:right w:val="none" w:sz="0" w:space="0" w:color="auto"/>
      </w:divBdr>
    </w:div>
    <w:div w:id="1714495693">
      <w:bodyDiv w:val="1"/>
      <w:marLeft w:val="0"/>
      <w:marRight w:val="0"/>
      <w:marTop w:val="0"/>
      <w:marBottom w:val="0"/>
      <w:divBdr>
        <w:top w:val="none" w:sz="0" w:space="0" w:color="auto"/>
        <w:left w:val="none" w:sz="0" w:space="0" w:color="auto"/>
        <w:bottom w:val="none" w:sz="0" w:space="0" w:color="auto"/>
        <w:right w:val="none" w:sz="0" w:space="0" w:color="auto"/>
      </w:divBdr>
    </w:div>
    <w:div w:id="1758290215">
      <w:bodyDiv w:val="1"/>
      <w:marLeft w:val="0"/>
      <w:marRight w:val="0"/>
      <w:marTop w:val="0"/>
      <w:marBottom w:val="0"/>
      <w:divBdr>
        <w:top w:val="none" w:sz="0" w:space="0" w:color="auto"/>
        <w:left w:val="none" w:sz="0" w:space="0" w:color="auto"/>
        <w:bottom w:val="none" w:sz="0" w:space="0" w:color="auto"/>
        <w:right w:val="none" w:sz="0" w:space="0" w:color="auto"/>
      </w:divBdr>
    </w:div>
    <w:div w:id="1773357971">
      <w:bodyDiv w:val="1"/>
      <w:marLeft w:val="0"/>
      <w:marRight w:val="0"/>
      <w:marTop w:val="0"/>
      <w:marBottom w:val="0"/>
      <w:divBdr>
        <w:top w:val="none" w:sz="0" w:space="0" w:color="auto"/>
        <w:left w:val="none" w:sz="0" w:space="0" w:color="auto"/>
        <w:bottom w:val="none" w:sz="0" w:space="0" w:color="auto"/>
        <w:right w:val="none" w:sz="0" w:space="0" w:color="auto"/>
      </w:divBdr>
    </w:div>
    <w:div w:id="1787387381">
      <w:bodyDiv w:val="1"/>
      <w:marLeft w:val="0"/>
      <w:marRight w:val="0"/>
      <w:marTop w:val="0"/>
      <w:marBottom w:val="0"/>
      <w:divBdr>
        <w:top w:val="none" w:sz="0" w:space="0" w:color="auto"/>
        <w:left w:val="none" w:sz="0" w:space="0" w:color="auto"/>
        <w:bottom w:val="none" w:sz="0" w:space="0" w:color="auto"/>
        <w:right w:val="none" w:sz="0" w:space="0" w:color="auto"/>
      </w:divBdr>
    </w:div>
    <w:div w:id="1787431875">
      <w:bodyDiv w:val="1"/>
      <w:marLeft w:val="0"/>
      <w:marRight w:val="0"/>
      <w:marTop w:val="0"/>
      <w:marBottom w:val="0"/>
      <w:divBdr>
        <w:top w:val="none" w:sz="0" w:space="0" w:color="auto"/>
        <w:left w:val="none" w:sz="0" w:space="0" w:color="auto"/>
        <w:bottom w:val="none" w:sz="0" w:space="0" w:color="auto"/>
        <w:right w:val="none" w:sz="0" w:space="0" w:color="auto"/>
      </w:divBdr>
    </w:div>
    <w:div w:id="1825585289">
      <w:bodyDiv w:val="1"/>
      <w:marLeft w:val="0"/>
      <w:marRight w:val="0"/>
      <w:marTop w:val="0"/>
      <w:marBottom w:val="0"/>
      <w:divBdr>
        <w:top w:val="none" w:sz="0" w:space="0" w:color="auto"/>
        <w:left w:val="none" w:sz="0" w:space="0" w:color="auto"/>
        <w:bottom w:val="none" w:sz="0" w:space="0" w:color="auto"/>
        <w:right w:val="none" w:sz="0" w:space="0" w:color="auto"/>
      </w:divBdr>
    </w:div>
    <w:div w:id="1833254142">
      <w:bodyDiv w:val="1"/>
      <w:marLeft w:val="0"/>
      <w:marRight w:val="0"/>
      <w:marTop w:val="0"/>
      <w:marBottom w:val="0"/>
      <w:divBdr>
        <w:top w:val="none" w:sz="0" w:space="0" w:color="auto"/>
        <w:left w:val="none" w:sz="0" w:space="0" w:color="auto"/>
        <w:bottom w:val="none" w:sz="0" w:space="0" w:color="auto"/>
        <w:right w:val="none" w:sz="0" w:space="0" w:color="auto"/>
      </w:divBdr>
    </w:div>
    <w:div w:id="1835221254">
      <w:bodyDiv w:val="1"/>
      <w:marLeft w:val="0"/>
      <w:marRight w:val="0"/>
      <w:marTop w:val="0"/>
      <w:marBottom w:val="0"/>
      <w:divBdr>
        <w:top w:val="none" w:sz="0" w:space="0" w:color="auto"/>
        <w:left w:val="none" w:sz="0" w:space="0" w:color="auto"/>
        <w:bottom w:val="none" w:sz="0" w:space="0" w:color="auto"/>
        <w:right w:val="none" w:sz="0" w:space="0" w:color="auto"/>
      </w:divBdr>
    </w:div>
    <w:div w:id="1846818874">
      <w:bodyDiv w:val="1"/>
      <w:marLeft w:val="0"/>
      <w:marRight w:val="0"/>
      <w:marTop w:val="0"/>
      <w:marBottom w:val="0"/>
      <w:divBdr>
        <w:top w:val="none" w:sz="0" w:space="0" w:color="auto"/>
        <w:left w:val="none" w:sz="0" w:space="0" w:color="auto"/>
        <w:bottom w:val="none" w:sz="0" w:space="0" w:color="auto"/>
        <w:right w:val="none" w:sz="0" w:space="0" w:color="auto"/>
      </w:divBdr>
    </w:div>
    <w:div w:id="1851066358">
      <w:bodyDiv w:val="1"/>
      <w:marLeft w:val="0"/>
      <w:marRight w:val="0"/>
      <w:marTop w:val="0"/>
      <w:marBottom w:val="0"/>
      <w:divBdr>
        <w:top w:val="none" w:sz="0" w:space="0" w:color="auto"/>
        <w:left w:val="none" w:sz="0" w:space="0" w:color="auto"/>
        <w:bottom w:val="none" w:sz="0" w:space="0" w:color="auto"/>
        <w:right w:val="none" w:sz="0" w:space="0" w:color="auto"/>
      </w:divBdr>
      <w:divsChild>
        <w:div w:id="928076291">
          <w:marLeft w:val="0"/>
          <w:marRight w:val="0"/>
          <w:marTop w:val="0"/>
          <w:marBottom w:val="0"/>
          <w:divBdr>
            <w:top w:val="none" w:sz="0" w:space="0" w:color="auto"/>
            <w:left w:val="none" w:sz="0" w:space="0" w:color="auto"/>
            <w:bottom w:val="none" w:sz="0" w:space="0" w:color="auto"/>
            <w:right w:val="none" w:sz="0" w:space="0" w:color="auto"/>
          </w:divBdr>
          <w:divsChild>
            <w:div w:id="2015499127">
              <w:marLeft w:val="0"/>
              <w:marRight w:val="0"/>
              <w:marTop w:val="0"/>
              <w:marBottom w:val="0"/>
              <w:divBdr>
                <w:top w:val="none" w:sz="0" w:space="0" w:color="auto"/>
                <w:left w:val="none" w:sz="0" w:space="0" w:color="auto"/>
                <w:bottom w:val="none" w:sz="0" w:space="0" w:color="auto"/>
                <w:right w:val="none" w:sz="0" w:space="0" w:color="auto"/>
              </w:divBdr>
              <w:divsChild>
                <w:div w:id="12340706">
                  <w:marLeft w:val="0"/>
                  <w:marRight w:val="0"/>
                  <w:marTop w:val="0"/>
                  <w:marBottom w:val="0"/>
                  <w:divBdr>
                    <w:top w:val="none" w:sz="0" w:space="0" w:color="auto"/>
                    <w:left w:val="none" w:sz="0" w:space="0" w:color="auto"/>
                    <w:bottom w:val="none" w:sz="0" w:space="0" w:color="auto"/>
                    <w:right w:val="none" w:sz="0" w:space="0" w:color="auto"/>
                  </w:divBdr>
                  <w:divsChild>
                    <w:div w:id="1898590441">
                      <w:marLeft w:val="0"/>
                      <w:marRight w:val="0"/>
                      <w:marTop w:val="0"/>
                      <w:marBottom w:val="0"/>
                      <w:divBdr>
                        <w:top w:val="none" w:sz="0" w:space="0" w:color="auto"/>
                        <w:left w:val="none" w:sz="0" w:space="0" w:color="auto"/>
                        <w:bottom w:val="none" w:sz="0" w:space="0" w:color="auto"/>
                        <w:right w:val="none" w:sz="0" w:space="0" w:color="auto"/>
                      </w:divBdr>
                      <w:divsChild>
                        <w:div w:id="1688171764">
                          <w:marLeft w:val="0"/>
                          <w:marRight w:val="0"/>
                          <w:marTop w:val="0"/>
                          <w:marBottom w:val="0"/>
                          <w:divBdr>
                            <w:top w:val="none" w:sz="0" w:space="0" w:color="auto"/>
                            <w:left w:val="none" w:sz="0" w:space="0" w:color="auto"/>
                            <w:bottom w:val="none" w:sz="0" w:space="0" w:color="auto"/>
                            <w:right w:val="none" w:sz="0" w:space="0" w:color="auto"/>
                          </w:divBdr>
                          <w:divsChild>
                            <w:div w:id="1002590833">
                              <w:marLeft w:val="0"/>
                              <w:marRight w:val="0"/>
                              <w:marTop w:val="0"/>
                              <w:marBottom w:val="0"/>
                              <w:divBdr>
                                <w:top w:val="none" w:sz="0" w:space="0" w:color="auto"/>
                                <w:left w:val="none" w:sz="0" w:space="0" w:color="auto"/>
                                <w:bottom w:val="none" w:sz="0" w:space="0" w:color="auto"/>
                                <w:right w:val="none" w:sz="0" w:space="0" w:color="auto"/>
                              </w:divBdr>
                              <w:divsChild>
                                <w:div w:id="1985818515">
                                  <w:marLeft w:val="0"/>
                                  <w:marRight w:val="0"/>
                                  <w:marTop w:val="0"/>
                                  <w:marBottom w:val="0"/>
                                  <w:divBdr>
                                    <w:top w:val="none" w:sz="0" w:space="0" w:color="auto"/>
                                    <w:left w:val="none" w:sz="0" w:space="0" w:color="auto"/>
                                    <w:bottom w:val="none" w:sz="0" w:space="0" w:color="auto"/>
                                    <w:right w:val="none" w:sz="0" w:space="0" w:color="auto"/>
                                  </w:divBdr>
                                  <w:divsChild>
                                    <w:div w:id="5240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059697">
      <w:bodyDiv w:val="1"/>
      <w:marLeft w:val="0"/>
      <w:marRight w:val="0"/>
      <w:marTop w:val="0"/>
      <w:marBottom w:val="0"/>
      <w:divBdr>
        <w:top w:val="none" w:sz="0" w:space="0" w:color="auto"/>
        <w:left w:val="none" w:sz="0" w:space="0" w:color="auto"/>
        <w:bottom w:val="none" w:sz="0" w:space="0" w:color="auto"/>
        <w:right w:val="none" w:sz="0" w:space="0" w:color="auto"/>
      </w:divBdr>
    </w:div>
    <w:div w:id="1875116649">
      <w:bodyDiv w:val="1"/>
      <w:marLeft w:val="0"/>
      <w:marRight w:val="0"/>
      <w:marTop w:val="0"/>
      <w:marBottom w:val="0"/>
      <w:divBdr>
        <w:top w:val="none" w:sz="0" w:space="0" w:color="auto"/>
        <w:left w:val="none" w:sz="0" w:space="0" w:color="auto"/>
        <w:bottom w:val="none" w:sz="0" w:space="0" w:color="auto"/>
        <w:right w:val="none" w:sz="0" w:space="0" w:color="auto"/>
      </w:divBdr>
    </w:div>
    <w:div w:id="1894612144">
      <w:bodyDiv w:val="1"/>
      <w:marLeft w:val="0"/>
      <w:marRight w:val="0"/>
      <w:marTop w:val="0"/>
      <w:marBottom w:val="0"/>
      <w:divBdr>
        <w:top w:val="none" w:sz="0" w:space="0" w:color="auto"/>
        <w:left w:val="none" w:sz="0" w:space="0" w:color="auto"/>
        <w:bottom w:val="none" w:sz="0" w:space="0" w:color="auto"/>
        <w:right w:val="none" w:sz="0" w:space="0" w:color="auto"/>
      </w:divBdr>
    </w:div>
    <w:div w:id="1903058424">
      <w:bodyDiv w:val="1"/>
      <w:marLeft w:val="0"/>
      <w:marRight w:val="0"/>
      <w:marTop w:val="0"/>
      <w:marBottom w:val="0"/>
      <w:divBdr>
        <w:top w:val="none" w:sz="0" w:space="0" w:color="auto"/>
        <w:left w:val="none" w:sz="0" w:space="0" w:color="auto"/>
        <w:bottom w:val="none" w:sz="0" w:space="0" w:color="auto"/>
        <w:right w:val="none" w:sz="0" w:space="0" w:color="auto"/>
      </w:divBdr>
    </w:div>
    <w:div w:id="1922324833">
      <w:bodyDiv w:val="1"/>
      <w:marLeft w:val="0"/>
      <w:marRight w:val="0"/>
      <w:marTop w:val="0"/>
      <w:marBottom w:val="0"/>
      <w:divBdr>
        <w:top w:val="none" w:sz="0" w:space="0" w:color="auto"/>
        <w:left w:val="none" w:sz="0" w:space="0" w:color="auto"/>
        <w:bottom w:val="none" w:sz="0" w:space="0" w:color="auto"/>
        <w:right w:val="none" w:sz="0" w:space="0" w:color="auto"/>
      </w:divBdr>
    </w:div>
    <w:div w:id="1933270314">
      <w:bodyDiv w:val="1"/>
      <w:marLeft w:val="0"/>
      <w:marRight w:val="0"/>
      <w:marTop w:val="0"/>
      <w:marBottom w:val="0"/>
      <w:divBdr>
        <w:top w:val="none" w:sz="0" w:space="0" w:color="auto"/>
        <w:left w:val="none" w:sz="0" w:space="0" w:color="auto"/>
        <w:bottom w:val="none" w:sz="0" w:space="0" w:color="auto"/>
        <w:right w:val="none" w:sz="0" w:space="0" w:color="auto"/>
      </w:divBdr>
      <w:divsChild>
        <w:div w:id="18355721">
          <w:marLeft w:val="0"/>
          <w:marRight w:val="0"/>
          <w:marTop w:val="0"/>
          <w:marBottom w:val="0"/>
          <w:divBdr>
            <w:top w:val="none" w:sz="0" w:space="0" w:color="auto"/>
            <w:left w:val="none" w:sz="0" w:space="0" w:color="auto"/>
            <w:bottom w:val="none" w:sz="0" w:space="0" w:color="auto"/>
            <w:right w:val="none" w:sz="0" w:space="0" w:color="auto"/>
          </w:divBdr>
          <w:divsChild>
            <w:div w:id="950431488">
              <w:marLeft w:val="0"/>
              <w:marRight w:val="0"/>
              <w:marTop w:val="0"/>
              <w:marBottom w:val="0"/>
              <w:divBdr>
                <w:top w:val="none" w:sz="0" w:space="0" w:color="auto"/>
                <w:left w:val="none" w:sz="0" w:space="0" w:color="auto"/>
                <w:bottom w:val="none" w:sz="0" w:space="0" w:color="auto"/>
                <w:right w:val="none" w:sz="0" w:space="0" w:color="auto"/>
              </w:divBdr>
              <w:divsChild>
                <w:div w:id="1599100215">
                  <w:marLeft w:val="0"/>
                  <w:marRight w:val="0"/>
                  <w:marTop w:val="0"/>
                  <w:marBottom w:val="0"/>
                  <w:divBdr>
                    <w:top w:val="none" w:sz="0" w:space="0" w:color="auto"/>
                    <w:left w:val="none" w:sz="0" w:space="0" w:color="auto"/>
                    <w:bottom w:val="none" w:sz="0" w:space="0" w:color="auto"/>
                    <w:right w:val="none" w:sz="0" w:space="0" w:color="auto"/>
                  </w:divBdr>
                  <w:divsChild>
                    <w:div w:id="1512796280">
                      <w:marLeft w:val="0"/>
                      <w:marRight w:val="0"/>
                      <w:marTop w:val="0"/>
                      <w:marBottom w:val="0"/>
                      <w:divBdr>
                        <w:top w:val="none" w:sz="0" w:space="0" w:color="auto"/>
                        <w:left w:val="none" w:sz="0" w:space="0" w:color="auto"/>
                        <w:bottom w:val="none" w:sz="0" w:space="0" w:color="auto"/>
                        <w:right w:val="none" w:sz="0" w:space="0" w:color="auto"/>
                      </w:divBdr>
                      <w:divsChild>
                        <w:div w:id="1634562238">
                          <w:marLeft w:val="0"/>
                          <w:marRight w:val="0"/>
                          <w:marTop w:val="0"/>
                          <w:marBottom w:val="0"/>
                          <w:divBdr>
                            <w:top w:val="none" w:sz="0" w:space="0" w:color="auto"/>
                            <w:left w:val="none" w:sz="0" w:space="0" w:color="auto"/>
                            <w:bottom w:val="none" w:sz="0" w:space="0" w:color="auto"/>
                            <w:right w:val="none" w:sz="0" w:space="0" w:color="auto"/>
                          </w:divBdr>
                          <w:divsChild>
                            <w:div w:id="1763262681">
                              <w:marLeft w:val="0"/>
                              <w:marRight w:val="0"/>
                              <w:marTop w:val="0"/>
                              <w:marBottom w:val="0"/>
                              <w:divBdr>
                                <w:top w:val="none" w:sz="0" w:space="0" w:color="auto"/>
                                <w:left w:val="none" w:sz="0" w:space="0" w:color="auto"/>
                                <w:bottom w:val="none" w:sz="0" w:space="0" w:color="auto"/>
                                <w:right w:val="none" w:sz="0" w:space="0" w:color="auto"/>
                              </w:divBdr>
                              <w:divsChild>
                                <w:div w:id="275405489">
                                  <w:marLeft w:val="0"/>
                                  <w:marRight w:val="0"/>
                                  <w:marTop w:val="0"/>
                                  <w:marBottom w:val="0"/>
                                  <w:divBdr>
                                    <w:top w:val="none" w:sz="0" w:space="0" w:color="auto"/>
                                    <w:left w:val="none" w:sz="0" w:space="0" w:color="auto"/>
                                    <w:bottom w:val="none" w:sz="0" w:space="0" w:color="auto"/>
                                    <w:right w:val="none" w:sz="0" w:space="0" w:color="auto"/>
                                  </w:divBdr>
                                  <w:divsChild>
                                    <w:div w:id="15703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660524">
      <w:bodyDiv w:val="1"/>
      <w:marLeft w:val="0"/>
      <w:marRight w:val="0"/>
      <w:marTop w:val="0"/>
      <w:marBottom w:val="0"/>
      <w:divBdr>
        <w:top w:val="none" w:sz="0" w:space="0" w:color="auto"/>
        <w:left w:val="none" w:sz="0" w:space="0" w:color="auto"/>
        <w:bottom w:val="none" w:sz="0" w:space="0" w:color="auto"/>
        <w:right w:val="none" w:sz="0" w:space="0" w:color="auto"/>
      </w:divBdr>
    </w:div>
    <w:div w:id="1939018749">
      <w:bodyDiv w:val="1"/>
      <w:marLeft w:val="0"/>
      <w:marRight w:val="0"/>
      <w:marTop w:val="0"/>
      <w:marBottom w:val="0"/>
      <w:divBdr>
        <w:top w:val="none" w:sz="0" w:space="0" w:color="auto"/>
        <w:left w:val="none" w:sz="0" w:space="0" w:color="auto"/>
        <w:bottom w:val="none" w:sz="0" w:space="0" w:color="auto"/>
        <w:right w:val="none" w:sz="0" w:space="0" w:color="auto"/>
      </w:divBdr>
    </w:div>
    <w:div w:id="1940869632">
      <w:bodyDiv w:val="1"/>
      <w:marLeft w:val="0"/>
      <w:marRight w:val="0"/>
      <w:marTop w:val="0"/>
      <w:marBottom w:val="0"/>
      <w:divBdr>
        <w:top w:val="none" w:sz="0" w:space="0" w:color="auto"/>
        <w:left w:val="none" w:sz="0" w:space="0" w:color="auto"/>
        <w:bottom w:val="none" w:sz="0" w:space="0" w:color="auto"/>
        <w:right w:val="none" w:sz="0" w:space="0" w:color="auto"/>
      </w:divBdr>
    </w:div>
    <w:div w:id="1942179708">
      <w:bodyDiv w:val="1"/>
      <w:marLeft w:val="0"/>
      <w:marRight w:val="0"/>
      <w:marTop w:val="0"/>
      <w:marBottom w:val="0"/>
      <w:divBdr>
        <w:top w:val="none" w:sz="0" w:space="0" w:color="auto"/>
        <w:left w:val="none" w:sz="0" w:space="0" w:color="auto"/>
        <w:bottom w:val="none" w:sz="0" w:space="0" w:color="auto"/>
        <w:right w:val="none" w:sz="0" w:space="0" w:color="auto"/>
      </w:divBdr>
    </w:div>
    <w:div w:id="1965580680">
      <w:bodyDiv w:val="1"/>
      <w:marLeft w:val="0"/>
      <w:marRight w:val="0"/>
      <w:marTop w:val="0"/>
      <w:marBottom w:val="0"/>
      <w:divBdr>
        <w:top w:val="none" w:sz="0" w:space="0" w:color="auto"/>
        <w:left w:val="none" w:sz="0" w:space="0" w:color="auto"/>
        <w:bottom w:val="none" w:sz="0" w:space="0" w:color="auto"/>
        <w:right w:val="none" w:sz="0" w:space="0" w:color="auto"/>
      </w:divBdr>
    </w:div>
    <w:div w:id="1991666276">
      <w:bodyDiv w:val="1"/>
      <w:marLeft w:val="0"/>
      <w:marRight w:val="0"/>
      <w:marTop w:val="0"/>
      <w:marBottom w:val="0"/>
      <w:divBdr>
        <w:top w:val="none" w:sz="0" w:space="0" w:color="auto"/>
        <w:left w:val="none" w:sz="0" w:space="0" w:color="auto"/>
        <w:bottom w:val="none" w:sz="0" w:space="0" w:color="auto"/>
        <w:right w:val="none" w:sz="0" w:space="0" w:color="auto"/>
      </w:divBdr>
    </w:div>
    <w:div w:id="2032535469">
      <w:bodyDiv w:val="1"/>
      <w:marLeft w:val="0"/>
      <w:marRight w:val="0"/>
      <w:marTop w:val="0"/>
      <w:marBottom w:val="0"/>
      <w:divBdr>
        <w:top w:val="none" w:sz="0" w:space="0" w:color="auto"/>
        <w:left w:val="none" w:sz="0" w:space="0" w:color="auto"/>
        <w:bottom w:val="none" w:sz="0" w:space="0" w:color="auto"/>
        <w:right w:val="none" w:sz="0" w:space="0" w:color="auto"/>
      </w:divBdr>
    </w:div>
    <w:div w:id="2069108887">
      <w:bodyDiv w:val="1"/>
      <w:marLeft w:val="0"/>
      <w:marRight w:val="0"/>
      <w:marTop w:val="0"/>
      <w:marBottom w:val="0"/>
      <w:divBdr>
        <w:top w:val="none" w:sz="0" w:space="0" w:color="auto"/>
        <w:left w:val="none" w:sz="0" w:space="0" w:color="auto"/>
        <w:bottom w:val="none" w:sz="0" w:space="0" w:color="auto"/>
        <w:right w:val="none" w:sz="0" w:space="0" w:color="auto"/>
      </w:divBdr>
    </w:div>
    <w:div w:id="2099789631">
      <w:bodyDiv w:val="1"/>
      <w:marLeft w:val="0"/>
      <w:marRight w:val="0"/>
      <w:marTop w:val="0"/>
      <w:marBottom w:val="0"/>
      <w:divBdr>
        <w:top w:val="none" w:sz="0" w:space="0" w:color="auto"/>
        <w:left w:val="none" w:sz="0" w:space="0" w:color="auto"/>
        <w:bottom w:val="none" w:sz="0" w:space="0" w:color="auto"/>
        <w:right w:val="none" w:sz="0" w:space="0" w:color="auto"/>
      </w:divBdr>
    </w:div>
    <w:div w:id="2119175444">
      <w:bodyDiv w:val="1"/>
      <w:marLeft w:val="0"/>
      <w:marRight w:val="0"/>
      <w:marTop w:val="0"/>
      <w:marBottom w:val="0"/>
      <w:divBdr>
        <w:top w:val="none" w:sz="0" w:space="0" w:color="auto"/>
        <w:left w:val="none" w:sz="0" w:space="0" w:color="auto"/>
        <w:bottom w:val="none" w:sz="0" w:space="0" w:color="auto"/>
        <w:right w:val="none" w:sz="0" w:space="0" w:color="auto"/>
      </w:divBdr>
    </w:div>
    <w:div w:id="2130275353">
      <w:bodyDiv w:val="1"/>
      <w:marLeft w:val="0"/>
      <w:marRight w:val="0"/>
      <w:marTop w:val="0"/>
      <w:marBottom w:val="0"/>
      <w:divBdr>
        <w:top w:val="none" w:sz="0" w:space="0" w:color="auto"/>
        <w:left w:val="none" w:sz="0" w:space="0" w:color="auto"/>
        <w:bottom w:val="none" w:sz="0" w:space="0" w:color="auto"/>
        <w:right w:val="none" w:sz="0" w:space="0" w:color="auto"/>
      </w:divBdr>
    </w:div>
    <w:div w:id="213151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avinia_15@yahoo.com" TargetMode="External"/><Relationship Id="rId26" Type="http://schemas.openxmlformats.org/officeDocument/2006/relationships/image" Target="media/image9.png"/><Relationship Id="rId39" Type="http://schemas.openxmlformats.org/officeDocument/2006/relationships/image" Target="media/image22.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1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luputaura@yahoo.com"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svg"/><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11</b:RefOrder>
  </b:Source>
  <b:Source>
    <b:Tag>FAP25</b:Tag>
    <b:SourceType>Book</b:SourceType>
    <b:Guid>{82B9DCF3-4385-4A01-8081-DAD43BCC19DB}</b:Guid>
    <b:Author>
      <b:Author>
        <b:NameList>
          <b:Person>
            <b:Last>F. A. Popa</b:Last>
            <b:First>M.</b:First>
            <b:Middle>Păunescu, R. Ciobanu,</b:Middle>
          </b:Person>
        </b:NameList>
      </b:Author>
    </b:Author>
    <b:Title>Fiscalitate</b:Title>
    <b:Year>2025</b:Year>
    <b:City>București</b:City>
    <b:Publisher>Editura CECCAR</b:Publisher>
    <b:RefOrder>12</b:RefOrder>
  </b:Source>
  <b:Source>
    <b:Tag>Pop25</b:Tag>
    <b:SourceType>Book</b:SourceType>
    <b:Guid>{68B20EC5-9200-416D-8E95-8C2250F007BF}</b:Guid>
    <b:Author>
      <b:Author>
        <b:NameList>
          <b:Person>
            <b:Last>Adriana Florina</b:Last>
            <b:First>Popa</b:First>
          </b:Person>
          <b:Person>
            <b:Last>Mirela</b:Last>
            <b:First>Păunescu</b:First>
          </b:Person>
          <b:Person>
            <b:Last>Radu</b:Last>
            <b:First>Ciobanu</b:First>
          </b:Person>
        </b:NameList>
      </b:Author>
    </b:Author>
    <b:Title>Fiscalitate</b:Title>
    <b:Year>2025</b:Year>
    <b:City>București</b:City>
    <b:Publisher>Editura CECCAR</b:Publisher>
    <b:RefOrder>1</b:RefOrder>
  </b:Source>
  <b:Source>
    <b:Tag>Tat08</b:Tag>
    <b:SourceType>Book</b:SourceType>
    <b:Guid>{28A01811-F303-4146-9AFC-BC1F5F16B94C}</b:Guid>
    <b:Title>Finanțe publice</b:Title>
    <b:Year>2008</b:Year>
    <b:City>București</b:City>
    <b:Publisher>Editura Universală</b:Publisher>
    <b:Author>
      <b:Author>
        <b:NameList>
          <b:Person>
            <b:Last>Tatiana</b:Last>
            <b:First>Moșteanu</b:First>
          </b:Person>
          <b:Person>
            <b:Last>Emilia</b:Last>
            <b:First>Câmpeanu</b:First>
          </b:Person>
          <b:Person>
            <b:Last>Luciana</b:Last>
            <b:First>Țâțu</b:First>
          </b:Person>
          <b:Person>
            <b:Last>Roxana</b:Last>
            <b:First>Tudor</b:First>
          </b:Person>
          <b:Person>
            <b:Last>Alice Ileana</b:Last>
            <b:First>Panaite</b:First>
          </b:Person>
          <b:Person>
            <b:Last>Delia</b:Last>
            <b:First>Cataramă</b:First>
          </b:Person>
          <b:Person>
            <b:Last>Gyorgy</b:Last>
            <b:First>Attila</b:First>
          </b:Person>
          <b:Person>
            <b:Last>Andreea</b:Last>
            <b:First>Stoian</b:First>
          </b:Person>
          <b:Person>
            <b:Last>Iulian</b:Last>
            <b:First>Brașoveanu</b:First>
          </b:Person>
          <b:Person>
            <b:Last>Emilian</b:Last>
            <b:First>Miricescu</b:First>
          </b:Person>
        </b:NameList>
      </b:Author>
    </b:Author>
    <b:RefOrder>4</b:RefOrder>
  </b:Source>
  <b:Source>
    <b:Tag>Cor24</b:Tag>
    <b:SourceType>ConferenceProceedings</b:SourceType>
    <b:Guid>{51D229E2-4A8A-4380-A4E9-56F135F3D9F8}</b:Guid>
    <b:Title>The contribution of perfonal income tax to the formation of public financial resources</b:Title>
    <b:Year>2024</b:Year>
    <b:Publisher>Simpozion Științific al Tinerilor Cercetători</b:Publisher>
    <b:Pages>276-279</b:Pages>
    <b:Author>
      <b:Author>
        <b:NameList>
          <b:Person>
            <b:Last>Corina</b:Last>
            <b:First>Bulgac</b:First>
          </b:Person>
        </b:NameList>
      </b:Author>
    </b:Author>
    <b:RefOrder>2</b:RefOrder>
  </b:Source>
  <b:Source>
    <b:Tag>Age24</b:Tag>
    <b:SourceType>DocumentFromInternetSite</b:SourceType>
    <b:Guid>{08DDD080-7AE7-433D-AAF1-37BB45AF1620}</b:Guid>
    <b:Year>2024</b:Year>
    <b:Author>
      <b:Author>
        <b:NameList>
          <b:Person>
            <b:Last>Fiscală</b:Last>
            <b:First>Agenția</b:First>
            <b:Middle>Națională Administrare</b:Middle>
          </b:Person>
        </b:NameList>
      </b:Author>
    </b:Author>
    <b:YearAccessed>2025</b:YearAccessed>
    <b:MonthAccessed>mai</b:MonthAccessed>
    <b:DayAccessed>20</b:DayAccessed>
    <b:URL>https://www.anaf.ro</b:URL>
    <b:RefOrder>3</b:RefOrder>
  </b:Source>
  <b:Source>
    <b:Tag>Sta24</b:Tag>
    <b:SourceType>DocumentFromInternetSite</b:SourceType>
    <b:Guid>{DA53C285-3468-47D3-BB64-567D8F568915}</b:Guid>
    <b:Year>2024</b:Year>
    <b:Author>
      <b:Author>
        <b:NameList>
          <b:Person>
            <b:Last>Statistică</b:Last>
            <b:First>Institutul</b:First>
            <b:Middle>Național</b:Middle>
          </b:Person>
        </b:NameList>
      </b:Author>
    </b:Author>
    <b:Title>Buletin statistic trimestrial</b:Title>
    <b:MonthAccessed>mai</b:MonthAccessed>
    <b:DayAccessed>25</b:DayAccessed>
    <b:URL>https://insse.ro</b:URL>
    <b:YearAccessed>2025</b:YearAccessed>
    <b:RefOrder>5</b:RefOrder>
  </b:Source>
  <b:Source>
    <b:Tag>ATă24</b:Tag>
    <b:SourceType>ConferenceProceedings</b:SourceType>
    <b:Guid>{CDBB88AC-B713-438C-B467-8754C7BBDB4F}</b:Guid>
    <b:Title>Analiza reglementării veniturilor impozabile ale persoanelor fizice</b:Title>
    <b:Year>2024</b:Year>
    <b:Author>
      <b:Author>
        <b:NameList>
          <b:Person>
            <b:Last>A</b:Last>
            <b:First>Tăbîrța</b:First>
          </b:Person>
        </b:NameList>
      </b:Author>
    </b:Author>
    <b:RefOrder>6</b:RefOrder>
  </b:Source>
  <b:Source>
    <b:Tag>Eug18</b:Tag>
    <b:SourceType>Book</b:SourceType>
    <b:Guid>{856DBE76-D117-47A0-A7A4-5413D4665B8A}</b:Guid>
    <b:Title>Fiscalitate</b:Title>
    <b:Year>2018</b:Year>
    <b:City>București</b:City>
    <b:Author>
      <b:Author>
        <b:NameList>
          <b:Person>
            <b:Last>Eugen Nicolăescu</b:Last>
          </b:Person>
          <b:Person>
            <b:Last>Sorin Adrian</b:Last>
            <b:First>Ciupitu</b:First>
          </b:Person>
        </b:NameList>
      </b:Author>
    </b:Author>
    <b:Publisher>Editura Pro Universitaria</b:Publisher>
    <b:RefOrder>7</b:RefOrder>
  </b:Source>
  <b:Source>
    <b:Tag>Sim20</b:Tag>
    <b:SourceType>Book</b:SourceType>
    <b:Guid>{23498FBE-785C-4787-B04D-E07674C88560}</b:Guid>
    <b:Title>Coordonare fiscală. Suport de curs</b:Title>
    <b:Year>2020</b:Year>
    <b:City>Cluj-Napoca</b:City>
    <b:Author>
      <b:Author>
        <b:NameList>
          <b:Person>
            <b:Last>Simona-Gabriela</b:Last>
            <b:First>Mașca</b:First>
          </b:Person>
        </b:NameList>
      </b:Author>
    </b:Author>
    <b:RefOrder>8</b:RefOrder>
  </b:Source>
  <b:Source>
    <b:Tag>CMP11</b:Tag>
    <b:SourceType>ConferenceProceedings</b:SourceType>
    <b:Guid>{B01E5086-CA9D-4839-8BE8-33D99CE85044}</b:Guid>
    <b:Title>Aspecte privind impozitarea veniturilor persoanelor fizice.</b:Title>
    <b:Year>2011</b:Year>
    <b:City>Arad</b:City>
    <b:Publisher>Studia Universitatis Vasile Goldiș</b:Publisher>
    <b:Author>
      <b:Author>
        <b:NameList>
          <b:Person>
            <b:Last>C. M.</b:Last>
            <b:First>Pelecaci</b:First>
          </b:Person>
        </b:NameList>
      </b:Author>
    </b:Author>
    <b:Pages>504-508</b:Pages>
    <b:RefOrder>9</b:RefOrder>
  </b:Source>
  <b:Source>
    <b:Tag>Rom24</b:Tag>
    <b:SourceType>ConferenceProceedings</b:SourceType>
    <b:Guid>{0AF44F23-1BB5-4352-8181-5EC10589B477}</b:Guid>
    <b:Title>Aspecte ale impozitului pe venit al subiecților ce desfășoară activități independente</b:Title>
    <b:Year>2024</b:Year>
    <b:ConferenceName>International Scientific Conference on Accounting</b:ConferenceName>
    <b:Author>
      <b:Author>
        <b:NameList>
          <b:Person>
            <b:Last>Roman</b:Last>
            <b:First>Vieru</b:First>
          </b:Person>
          <b:Person>
            <b:Last>Liliana</b:Last>
            <b:First>Lazari</b:First>
          </b:Person>
        </b:NameList>
      </b:Author>
    </b:Author>
    <b:Pages>182-187</b:Pages>
    <b:RefOrder>10</b:RefOrder>
  </b:Source>
</b:Sources>
</file>

<file path=customXml/itemProps1.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3.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13C79-5963-4A01-8573-031B9F7F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template_jXGEN_w1.dotm</Template>
  <TotalTime>565</TotalTime>
  <Pages>1</Pages>
  <Words>2400</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Microsoft account</cp:lastModifiedBy>
  <cp:revision>8</cp:revision>
  <cp:lastPrinted>2021-11-16T18:47:00Z</cp:lastPrinted>
  <dcterms:created xsi:type="dcterms:W3CDTF">2023-10-10T05:59:00Z</dcterms:created>
  <dcterms:modified xsi:type="dcterms:W3CDTF">2025-06-03T06:04:00Z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