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34F1" w14:textId="35EF1D15" w:rsidR="002019AE" w:rsidRPr="00901D18" w:rsidRDefault="00C65A11" w:rsidP="002019AE">
      <w:pPr>
        <w:pStyle w:val="Titlu1"/>
        <w:rPr>
          <w:noProof/>
          <w:lang w:val="ro-RO"/>
        </w:rPr>
      </w:pPr>
      <w:r w:rsidRPr="00C65A11">
        <w:rPr>
          <w:noProof/>
          <w:lang w:val="ro-RO"/>
        </w:rPr>
        <w:t>Applicative study of the calculation of microenterprise tax at SC DECONCAVA SRL</w:t>
      </w:r>
    </w:p>
    <w:p w14:paraId="493AF683" w14:textId="77777777" w:rsidR="0045384A" w:rsidRPr="00901D18" w:rsidRDefault="0045384A" w:rsidP="00E4644F">
      <w:pPr>
        <w:rPr>
          <w:lang w:val="ro-RO"/>
        </w:rPr>
        <w:sectPr w:rsidR="0045384A" w:rsidRPr="00901D18" w:rsidSect="008C7AFF">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20" w:footer="720" w:gutter="0"/>
          <w:cols w:space="720"/>
          <w:docGrid w:linePitch="360"/>
        </w:sectPr>
      </w:pPr>
    </w:p>
    <w:p w14:paraId="760FEE42" w14:textId="77777777" w:rsidR="00E4644F" w:rsidRPr="00901D18" w:rsidRDefault="00E4644F" w:rsidP="00E4644F">
      <w:pPr>
        <w:rPr>
          <w:lang w:val="ro-RO"/>
        </w:rPr>
      </w:pPr>
    </w:p>
    <w:p w14:paraId="5C343EAE" w14:textId="77777777" w:rsidR="00645718" w:rsidRPr="00901D18" w:rsidRDefault="00645718" w:rsidP="00FD62F6">
      <w:pPr>
        <w:ind w:firstLine="0"/>
        <w:rPr>
          <w:lang w:val="ro-RO"/>
        </w:rPr>
        <w:sectPr w:rsidR="00645718" w:rsidRPr="00901D18" w:rsidSect="008C7AFF">
          <w:type w:val="continuous"/>
          <w:pgSz w:w="11906" w:h="16838" w:code="9"/>
          <w:pgMar w:top="1440" w:right="1080" w:bottom="1440" w:left="1080" w:header="720" w:footer="720" w:gutter="0"/>
          <w:cols w:num="2" w:space="720"/>
          <w:docGrid w:linePitch="360"/>
        </w:sectPr>
      </w:pPr>
    </w:p>
    <w:p w14:paraId="7C0A9E05" w14:textId="4A6B8F53" w:rsidR="00C80577" w:rsidRPr="00500377" w:rsidRDefault="00C80577" w:rsidP="00FD62F6">
      <w:pPr>
        <w:ind w:firstLine="0"/>
        <w:rPr>
          <w:smallCaps/>
          <w:sz w:val="20"/>
          <w:szCs w:val="20"/>
        </w:rPr>
      </w:pPr>
      <w:r w:rsidRPr="00500377">
        <w:rPr>
          <w:smallCaps/>
          <w:sz w:val="20"/>
          <w:szCs w:val="20"/>
        </w:rPr>
        <w:t>Ancuța Maria Iuga</w:t>
      </w:r>
    </w:p>
    <w:p w14:paraId="470FEC5A" w14:textId="77777777" w:rsidR="00C65A11" w:rsidRPr="00500377" w:rsidRDefault="00C65A11" w:rsidP="00FD62F6">
      <w:pPr>
        <w:ind w:firstLine="0"/>
        <w:rPr>
          <w:caps/>
          <w:sz w:val="20"/>
          <w:szCs w:val="20"/>
        </w:rPr>
      </w:pPr>
      <w:r w:rsidRPr="00500377">
        <w:rPr>
          <w:caps/>
          <w:sz w:val="20"/>
          <w:szCs w:val="20"/>
        </w:rPr>
        <w:t>TECHNICAL UNIVERSITY OF CLUJ-NAPOCA</w:t>
      </w:r>
    </w:p>
    <w:p w14:paraId="0E3706E5" w14:textId="77777777" w:rsidR="00C65A11" w:rsidRPr="00500377" w:rsidRDefault="00C65A11" w:rsidP="00FD62F6">
      <w:pPr>
        <w:ind w:firstLine="0"/>
        <w:rPr>
          <w:sz w:val="20"/>
          <w:szCs w:val="20"/>
        </w:rPr>
      </w:pPr>
      <w:r w:rsidRPr="00500377">
        <w:rPr>
          <w:sz w:val="20"/>
          <w:szCs w:val="20"/>
        </w:rPr>
        <w:t>Faculty of Sciences</w:t>
      </w:r>
    </w:p>
    <w:p w14:paraId="32F85E20" w14:textId="77777777" w:rsidR="00C65A11" w:rsidRPr="00500377" w:rsidRDefault="00C65A11" w:rsidP="00FD62F6">
      <w:pPr>
        <w:ind w:firstLine="0"/>
        <w:rPr>
          <w:sz w:val="20"/>
          <w:szCs w:val="20"/>
        </w:rPr>
      </w:pPr>
      <w:r w:rsidRPr="00500377">
        <w:rPr>
          <w:sz w:val="20"/>
          <w:szCs w:val="20"/>
        </w:rPr>
        <w:t>Specialization: Business Economics</w:t>
      </w:r>
      <w:r w:rsidRPr="00500377">
        <w:rPr>
          <w:sz w:val="20"/>
          <w:szCs w:val="20"/>
        </w:rPr>
        <w:t xml:space="preserve">              </w:t>
      </w:r>
    </w:p>
    <w:p w14:paraId="5ABA2ECC" w14:textId="523AC084" w:rsidR="00D9537B" w:rsidRPr="00500377" w:rsidRDefault="00FD62F6" w:rsidP="00FD62F6">
      <w:pPr>
        <w:ind w:firstLine="0"/>
        <w:rPr>
          <w:sz w:val="20"/>
          <w:szCs w:val="20"/>
        </w:rPr>
      </w:pPr>
      <w:r w:rsidRPr="00500377">
        <w:rPr>
          <w:sz w:val="20"/>
          <w:szCs w:val="20"/>
        </w:rPr>
        <w:t>Email:</w:t>
      </w:r>
      <w:r w:rsidR="00C80577" w:rsidRPr="00500377">
        <w:rPr>
          <w:sz w:val="20"/>
          <w:szCs w:val="20"/>
        </w:rPr>
        <w:t xml:space="preserve"> ancutamaria93@yahoo.com</w:t>
      </w:r>
    </w:p>
    <w:p w14:paraId="33A227F2" w14:textId="77777777" w:rsidR="00FA3573" w:rsidRPr="00500377" w:rsidRDefault="00FA3573" w:rsidP="00FD62F6">
      <w:pPr>
        <w:ind w:firstLine="0"/>
        <w:rPr>
          <w:sz w:val="20"/>
          <w:szCs w:val="20"/>
        </w:rPr>
      </w:pPr>
    </w:p>
    <w:p w14:paraId="6EE32E9A" w14:textId="3B336570" w:rsidR="00D9537B" w:rsidRPr="00500377" w:rsidRDefault="00C80577" w:rsidP="00D9537B">
      <w:pPr>
        <w:ind w:firstLine="0"/>
        <w:rPr>
          <w:smallCaps/>
          <w:sz w:val="20"/>
          <w:szCs w:val="20"/>
        </w:rPr>
      </w:pPr>
      <w:r w:rsidRPr="00500377">
        <w:rPr>
          <w:smallCaps/>
          <w:sz w:val="20"/>
          <w:szCs w:val="20"/>
        </w:rPr>
        <w:t xml:space="preserve"> </w:t>
      </w:r>
      <w:r w:rsidR="0033540B" w:rsidRPr="00500377">
        <w:rPr>
          <w:smallCaps/>
          <w:sz w:val="20"/>
          <w:szCs w:val="20"/>
        </w:rPr>
        <w:t xml:space="preserve">Ioana Lavinia </w:t>
      </w:r>
      <w:proofErr w:type="spellStart"/>
      <w:r w:rsidR="0033540B" w:rsidRPr="00500377">
        <w:rPr>
          <w:smallCaps/>
          <w:sz w:val="20"/>
          <w:szCs w:val="20"/>
        </w:rPr>
        <w:t>Pleșa</w:t>
      </w:r>
      <w:proofErr w:type="spellEnd"/>
    </w:p>
    <w:p w14:paraId="2773A26D" w14:textId="77777777" w:rsidR="00C65A11" w:rsidRPr="00500377" w:rsidRDefault="00C65A11" w:rsidP="00D9537B">
      <w:pPr>
        <w:ind w:firstLine="0"/>
        <w:rPr>
          <w:caps/>
          <w:sz w:val="20"/>
          <w:szCs w:val="20"/>
        </w:rPr>
      </w:pPr>
      <w:r w:rsidRPr="00500377">
        <w:rPr>
          <w:caps/>
          <w:sz w:val="20"/>
          <w:szCs w:val="20"/>
        </w:rPr>
        <w:t>TECHNICAL UNIVERSITY OF CLUJ-NAPOCA</w:t>
      </w:r>
    </w:p>
    <w:p w14:paraId="4E6EAFE7" w14:textId="77777777" w:rsidR="00C65A11" w:rsidRPr="00500377" w:rsidRDefault="00C65A11" w:rsidP="00D9537B">
      <w:pPr>
        <w:ind w:firstLine="0"/>
        <w:rPr>
          <w:sz w:val="20"/>
          <w:szCs w:val="20"/>
        </w:rPr>
      </w:pPr>
      <w:r w:rsidRPr="00500377">
        <w:rPr>
          <w:sz w:val="20"/>
          <w:szCs w:val="20"/>
        </w:rPr>
        <w:t xml:space="preserve">Specialization: Business Economics              </w:t>
      </w:r>
    </w:p>
    <w:p w14:paraId="0FC92961" w14:textId="61567FB8" w:rsidR="00D17B18" w:rsidRPr="00901D18" w:rsidRDefault="00D9537B" w:rsidP="00D9537B">
      <w:pPr>
        <w:ind w:firstLine="0"/>
        <w:rPr>
          <w:b/>
          <w:bCs/>
          <w:lang w:val="ro-RO"/>
        </w:rPr>
      </w:pPr>
      <w:r w:rsidRPr="00500377">
        <w:rPr>
          <w:sz w:val="20"/>
          <w:szCs w:val="20"/>
        </w:rPr>
        <w:t>Email:</w:t>
      </w:r>
      <w:r w:rsidRPr="00500377">
        <w:t xml:space="preserve"> </w:t>
      </w:r>
      <w:r w:rsidR="00FD62F6" w:rsidRPr="00500377">
        <w:t xml:space="preserve"> </w:t>
      </w:r>
      <w:r w:rsidR="00B53C41" w:rsidRPr="00500377">
        <w:t>lavinia_s15@yahoo.com</w:t>
      </w:r>
      <w:r w:rsidR="00FD62F6" w:rsidRPr="00901D18">
        <w:rPr>
          <w:lang w:val="ro-RO"/>
        </w:rPr>
        <w:br w:type="column"/>
      </w:r>
      <w:r w:rsidR="00FD62F6" w:rsidRPr="00901D18">
        <w:rPr>
          <w:b/>
          <w:bCs/>
          <w:lang w:val="ro-RO"/>
        </w:rPr>
        <w:t>Abstract</w:t>
      </w:r>
    </w:p>
    <w:p w14:paraId="37AA7D87" w14:textId="77777777" w:rsidR="00C65A11" w:rsidRPr="00C32E76" w:rsidRDefault="00C65A11" w:rsidP="00FD62F6">
      <w:pPr>
        <w:ind w:firstLine="0"/>
        <w:rPr>
          <w:rStyle w:val="Accentuat"/>
        </w:rPr>
      </w:pPr>
      <w:r w:rsidRPr="00C32E76">
        <w:rPr>
          <w:rStyle w:val="Accentuat"/>
        </w:rPr>
        <w:t>This paper presents an applied study of the calculation of the tax on microenterprises in Romania by analyzing the case of SC DECONCAVA SRL during the period 2020-2023. The tax regime for microenterprises provides a simplified framework for SMEs by replacing the profit tax with the income tax. The study examines the eligibility criteria, the differentiated tax rates (1% and 3%) and the quarterly declaration obligations. The analysis of the financial data demonstrates that the company benefited from the reduced rate of 1%, recording fully taxable income between 1,480,329 lei and 1,853,293 lei. The results highlight a stable evolution with a peak performance in 2022, confirming the advantages of the simplified tax regime for Romanian microenterprises.</w:t>
      </w:r>
    </w:p>
    <w:p w14:paraId="539038FB" w14:textId="0AC86F7F" w:rsidR="00EC6E85" w:rsidRPr="00C32E76" w:rsidRDefault="00CE2B2F" w:rsidP="00FD62F6">
      <w:pPr>
        <w:ind w:firstLine="0"/>
        <w:rPr>
          <w:b/>
          <w:bCs/>
        </w:rPr>
      </w:pPr>
      <w:r w:rsidRPr="00C32E76">
        <w:rPr>
          <w:b/>
          <w:bCs/>
        </w:rPr>
        <w:t>K</w:t>
      </w:r>
      <w:r w:rsidR="00EC6E85" w:rsidRPr="00C32E76">
        <w:rPr>
          <w:b/>
          <w:bCs/>
        </w:rPr>
        <w:t>eywords:</w:t>
      </w:r>
      <w:r w:rsidR="007A3A66" w:rsidRPr="00C32E76">
        <w:rPr>
          <w:b/>
          <w:bCs/>
        </w:rPr>
        <w:t xml:space="preserve"> </w:t>
      </w:r>
      <w:r w:rsidR="00C65A11" w:rsidRPr="00C32E76">
        <w:rPr>
          <w:rStyle w:val="Accentuat"/>
        </w:rPr>
        <w:t>microenterprises, income tax, tax regime, Tax Code, quarterly declaration</w:t>
      </w:r>
    </w:p>
    <w:p w14:paraId="5EE6D684" w14:textId="77777777" w:rsidR="00EC6E85" w:rsidRPr="00901D18" w:rsidRDefault="00EC6E85" w:rsidP="00FD62F6">
      <w:pPr>
        <w:ind w:firstLine="0"/>
        <w:rPr>
          <w:rStyle w:val="Accentuat"/>
          <w:lang w:val="ro-RO"/>
        </w:rPr>
        <w:sectPr w:rsidR="00EC6E85" w:rsidRPr="00901D18" w:rsidSect="008C7AFF">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Default="00212BC6" w:rsidP="007A3745">
      <w:pPr>
        <w:rPr>
          <w:noProof/>
          <w:lang w:val="ro-RO"/>
        </w:rPr>
      </w:pPr>
      <w:r>
        <w:rPr>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79960EAB"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p w14:paraId="66DFE3A6" w14:textId="48E699EC" w:rsidR="009D6A98" w:rsidRPr="00901D18" w:rsidRDefault="009D6A98" w:rsidP="009D6A98">
      <w:pPr>
        <w:pStyle w:val="Titlu2"/>
        <w:rPr>
          <w:noProof/>
          <w:lang w:val="ro-RO"/>
        </w:rPr>
      </w:pPr>
      <w:bookmarkStart w:id="0" w:name="_Ref89192959"/>
      <w:r w:rsidRPr="00901D18">
        <w:rPr>
          <w:noProof/>
          <w:lang w:val="ro-RO"/>
        </w:rPr>
        <w:t>Introdu</w:t>
      </w:r>
      <w:bookmarkEnd w:id="0"/>
      <w:r w:rsidR="00C65A11">
        <w:rPr>
          <w:noProof/>
          <w:lang w:val="ro-RO"/>
        </w:rPr>
        <w:t>ction</w:t>
      </w:r>
    </w:p>
    <w:p w14:paraId="556224F0" w14:textId="4420D463" w:rsidR="00145116" w:rsidRDefault="00C65A11" w:rsidP="0033540B">
      <w:pPr>
        <w:rPr>
          <w:noProof/>
          <w:lang w:val="ro-RO"/>
        </w:rPr>
      </w:pPr>
      <w:r w:rsidRPr="00C65A11">
        <w:rPr>
          <w:noProof/>
          <w:lang w:val="ro-RO"/>
        </w:rPr>
        <w:t>The tax regime for micro-enterprises in Romania is a key element in the architecture of the national tax system, designed to support the functioning and development of small and medium-sized enterprises (SMEs). It provides a simplified and more predictable tax framework, replacing the corporate tax with an income tax, which reduces the administrative burden on eligible taxpayers. Through this approach, the state aims to facilitate tax compliance and stimulate the small-scale entrepreneurial environment.</w:t>
      </w:r>
    </w:p>
    <w:p w14:paraId="6801452E" w14:textId="77777777" w:rsidR="00C65A11" w:rsidRDefault="00C65A11" w:rsidP="00145116">
      <w:pPr>
        <w:rPr>
          <w:noProof/>
          <w:lang w:val="ro-RO"/>
        </w:rPr>
      </w:pPr>
      <w:r w:rsidRPr="00C65A11">
        <w:rPr>
          <w:noProof/>
          <w:lang w:val="ro-RO"/>
        </w:rPr>
        <w:t>The calculation of the tax due by micro-enterprises is carried out in accordance with the specific provisions of the Fiscal Code, involving the determination of a taxable base in relation to the income generated, the application of the quotas established by law and, in certain cases, the benefit of tax exemptions or reductions. In addition, it is necessary to verify compliance with the eligibility criteria for inclusion in such a regime, such as the maximum annual income ceiling, the composition of the shareholder structure, the existence of a minimum number of employees and the nature of the economic activities carried out by the entity.</w:t>
      </w:r>
    </w:p>
    <w:p w14:paraId="5D66A20A" w14:textId="4C99873E" w:rsidR="00714357" w:rsidRPr="00145116" w:rsidRDefault="00714357" w:rsidP="00145116">
      <w:pPr>
        <w:rPr>
          <w:noProof/>
          <w:lang w:val="ro-RO"/>
        </w:rPr>
      </w:pPr>
      <w:r w:rsidRPr="00714357">
        <w:rPr>
          <w:noProof/>
          <w:lang w:val="ro-RO"/>
        </w:rPr>
        <w:t>This section aims to systematically outline the steps to be followed for calculating the income tax of microenterprises, focusing on the correct application of tax rates, reporting obligations to tax authorities and compliance with legal payment deadlines. It will also analyze recent changes in tax legislation, which have a direct impact on the tax calculation mechanism and the fiscal responsibilities assumed by microenterprises under this regime.</w:t>
      </w:r>
    </w:p>
    <w:p w14:paraId="02A2DD80" w14:textId="412108F2" w:rsidR="00E4644F" w:rsidRPr="00901D18" w:rsidRDefault="00714357" w:rsidP="00E4644F">
      <w:pPr>
        <w:pStyle w:val="Titlu2"/>
        <w:rPr>
          <w:noProof/>
          <w:lang w:val="ro-RO"/>
        </w:rPr>
      </w:pPr>
      <w:r>
        <w:rPr>
          <w:noProof/>
          <w:lang w:val="ro-RO"/>
        </w:rPr>
        <w:t>Literature review</w:t>
      </w:r>
    </w:p>
    <w:p w14:paraId="72042660" w14:textId="38B4454C" w:rsidR="005F0A08" w:rsidRDefault="00714357" w:rsidP="005F0A08">
      <w:pPr>
        <w:rPr>
          <w:noProof/>
        </w:rPr>
      </w:pPr>
      <w:r w:rsidRPr="00714357">
        <w:rPr>
          <w:noProof/>
          <w:lang w:val="ro-RO"/>
        </w:rPr>
        <w:t xml:space="preserve">According to the Romanian Fiscal Code, a micro-enterprise is defined as a company incorporated under Romanian law that cumulatively meets certain conditions at the end of the previous fiscal year. As for income, the legislation expressly establishes which of these are not taxable, the rest being considered taxable income such as dividends from other Romanian companies, </w:t>
      </w:r>
      <w:r w:rsidRPr="00714357">
        <w:rPr>
          <w:noProof/>
          <w:lang w:val="ro-RO"/>
        </w:rPr>
        <w:lastRenderedPageBreak/>
        <w:t>recoveries of previously non-deductible expenses and adjustments related to provisions. At the same time, tax-deductible expenses are those that directly support the economic activity, are justified by documents and are not restricted by law. Profit tax is declared and paid quarterly, by the 25th of the month following each quarter, with the final regularization carried out, as a rule, by June 25 of the following year.</w:t>
      </w:r>
      <w:sdt>
        <w:sdtPr>
          <w:rPr>
            <w:noProof/>
            <w:lang w:val="ro-RO"/>
          </w:rPr>
          <w:id w:val="-2062238514"/>
          <w:citation/>
        </w:sdtPr>
        <w:sdtContent>
          <w:r w:rsidR="00EA0117">
            <w:rPr>
              <w:noProof/>
              <w:lang w:val="ro-RO"/>
            </w:rPr>
            <w:fldChar w:fldCharType="begin"/>
          </w:r>
          <w:r w:rsidR="00EA0117">
            <w:rPr>
              <w:noProof/>
            </w:rPr>
            <w:instrText xml:space="preserve"> CITATION Substituent1 \l 1033 </w:instrText>
          </w:r>
          <w:r w:rsidR="00EA0117">
            <w:rPr>
              <w:noProof/>
              <w:lang w:val="ro-RO"/>
            </w:rPr>
            <w:fldChar w:fldCharType="separate"/>
          </w:r>
          <w:r w:rsidR="00196DF2" w:rsidRPr="00196DF2">
            <w:rPr>
              <w:noProof/>
            </w:rPr>
            <w:t>[1]</w:t>
          </w:r>
          <w:r w:rsidR="00EA0117">
            <w:rPr>
              <w:noProof/>
              <w:lang w:val="ro-RO"/>
            </w:rPr>
            <w:fldChar w:fldCharType="end"/>
          </w:r>
        </w:sdtContent>
      </w:sdt>
    </w:p>
    <w:p w14:paraId="18512678" w14:textId="76B5EA67" w:rsidR="005F0A08" w:rsidRDefault="00714357" w:rsidP="005F0A08">
      <w:pPr>
        <w:rPr>
          <w:noProof/>
        </w:rPr>
      </w:pPr>
      <w:r w:rsidRPr="00714357">
        <w:rPr>
          <w:noProof/>
        </w:rPr>
        <w:t>A micro-enterprise reactivated in the trade register can be included in the income tax regime starting from the date of re-registration, provided that some essential criteria are met: holding the minimum legal share capital, submitting the annual financial statements on time and hiring an employee within a maximum of 30 calendar days. In addition, companies paying profit tax can opt for the micro-enterprise regime starting from January 1 of a new fiscal year, if they have not applied this system after 2023, respectively after 2024 for companies in the HORECA sector. For this change, it is mandatory to submit form 700, which aims to update the tax vector. At the same time, newly established companies can opt for the micro-enterprise tax regime from the beginning of their activity, provided that the same legal requirements regarding capital and employed personnel are met.</w:t>
      </w:r>
      <w:r w:rsidR="005F0A08">
        <w:rPr>
          <w:noProof/>
        </w:rPr>
        <w:t xml:space="preserve"> </w:t>
      </w:r>
      <w:sdt>
        <w:sdtPr>
          <w:rPr>
            <w:noProof/>
          </w:rPr>
          <w:id w:val="2108621093"/>
          <w:citation/>
        </w:sdtPr>
        <w:sdtContent>
          <w:r w:rsidR="00196DF2">
            <w:rPr>
              <w:noProof/>
            </w:rPr>
            <w:fldChar w:fldCharType="begin"/>
          </w:r>
          <w:r w:rsidR="00196DF2">
            <w:rPr>
              <w:noProof/>
            </w:rPr>
            <w:instrText xml:space="preserve"> CITATION Substituent2 \l 1033 </w:instrText>
          </w:r>
          <w:r w:rsidR="00196DF2">
            <w:rPr>
              <w:noProof/>
            </w:rPr>
            <w:fldChar w:fldCharType="separate"/>
          </w:r>
          <w:r w:rsidR="00196DF2" w:rsidRPr="00196DF2">
            <w:rPr>
              <w:noProof/>
            </w:rPr>
            <w:t>[2]</w:t>
          </w:r>
          <w:r w:rsidR="00196DF2">
            <w:rPr>
              <w:noProof/>
            </w:rPr>
            <w:fldChar w:fldCharType="end"/>
          </w:r>
        </w:sdtContent>
      </w:sdt>
    </w:p>
    <w:p w14:paraId="57D7857B" w14:textId="77777777" w:rsidR="00714357" w:rsidRDefault="00714357" w:rsidP="00083F16">
      <w:pPr>
        <w:rPr>
          <w:noProof/>
        </w:rPr>
      </w:pPr>
      <w:r w:rsidRPr="00714357">
        <w:rPr>
          <w:noProof/>
        </w:rPr>
        <w:t>The option between the micro-enterprise tax regime and the one based on profit taxation is established at the beginning of each financial year. Starting with January 1, 2025, companies carrying out activities related to the NACE codes in the field of hotels, public catering and related services (such as restaurants, bars and catering units) may apply the micro-enterprise tax regime only if they fully comply with the required legal criteria.</w:t>
      </w:r>
    </w:p>
    <w:p w14:paraId="1A0192F1" w14:textId="7862CC71" w:rsidR="005F0A08" w:rsidRDefault="00714357" w:rsidP="00083F16">
      <w:pPr>
        <w:rPr>
          <w:noProof/>
        </w:rPr>
      </w:pPr>
      <w:r w:rsidRPr="00714357">
        <w:rPr>
          <w:noProof/>
        </w:rPr>
        <w:t>Also, a company temporarily registered as inactive in the trade register retains the possibility of being subject to taxation on the micro-enterprise income after resuming activity, provided that it meets essential requirements: not to have the state among its shareholders, not to hold more than 25% of the shares in other micro-enterprises, to comply with the deadlines for submitting financial statements and to employ at least one person within 30 days of resuming activity</w:t>
      </w:r>
      <w:r w:rsidR="00083F16">
        <w:rPr>
          <w:noProof/>
        </w:rPr>
        <w:t>.</w:t>
      </w:r>
      <w:sdt>
        <w:sdtPr>
          <w:rPr>
            <w:noProof/>
          </w:rPr>
          <w:id w:val="2141992273"/>
          <w:citation/>
        </w:sdtPr>
        <w:sdtContent>
          <w:r w:rsidR="00196DF2">
            <w:rPr>
              <w:noProof/>
            </w:rPr>
            <w:fldChar w:fldCharType="begin"/>
          </w:r>
          <w:r w:rsidR="00196DF2">
            <w:rPr>
              <w:noProof/>
            </w:rPr>
            <w:instrText xml:space="preserve"> CITATION Substituent2 \l 1033 </w:instrText>
          </w:r>
          <w:r w:rsidR="00196DF2">
            <w:rPr>
              <w:noProof/>
            </w:rPr>
            <w:fldChar w:fldCharType="separate"/>
          </w:r>
          <w:r w:rsidR="00196DF2">
            <w:rPr>
              <w:noProof/>
            </w:rPr>
            <w:t xml:space="preserve"> </w:t>
          </w:r>
          <w:r w:rsidR="00196DF2" w:rsidRPr="00196DF2">
            <w:rPr>
              <w:noProof/>
            </w:rPr>
            <w:t>[2]</w:t>
          </w:r>
          <w:r w:rsidR="00196DF2">
            <w:rPr>
              <w:noProof/>
            </w:rPr>
            <w:fldChar w:fldCharType="end"/>
          </w:r>
        </w:sdtContent>
      </w:sdt>
    </w:p>
    <w:p w14:paraId="42FCE825" w14:textId="22E1D095" w:rsidR="00083F16" w:rsidRDefault="00714357" w:rsidP="00083F16">
      <w:pPr>
        <w:rPr>
          <w:noProof/>
        </w:rPr>
      </w:pPr>
      <w:r w:rsidRPr="00714357">
        <w:rPr>
          <w:noProof/>
        </w:rPr>
        <w:t>Micro-enterprises in Romania are taxed differently depending on the level of income and the nature of the activities carried out. Thus, a 1% rate applies to companies that achieve annual income of up to 60,000 euros and that do not carry out restrictive activities provided for in the Fiscal Code. In contrast, a 3% rate becomes applicable when the reference income is exceeded or if the company carries out activities classified under certain CAEN codes, such as those in the fields of consulting, banking, insurance or gambling.</w:t>
      </w:r>
      <w:r w:rsidR="00083F16">
        <w:rPr>
          <w:noProof/>
        </w:rPr>
        <w:t xml:space="preserve"> </w:t>
      </w:r>
      <w:sdt>
        <w:sdtPr>
          <w:rPr>
            <w:noProof/>
          </w:rPr>
          <w:id w:val="-1684656203"/>
          <w:citation/>
        </w:sdtPr>
        <w:sdtContent>
          <w:r w:rsidR="00196DF2">
            <w:rPr>
              <w:noProof/>
            </w:rPr>
            <w:fldChar w:fldCharType="begin"/>
          </w:r>
          <w:r w:rsidR="00196DF2">
            <w:rPr>
              <w:noProof/>
            </w:rPr>
            <w:instrText xml:space="preserve"> CITATION Substituent3 \l 1033 </w:instrText>
          </w:r>
          <w:r w:rsidR="00196DF2">
            <w:rPr>
              <w:noProof/>
            </w:rPr>
            <w:fldChar w:fldCharType="separate"/>
          </w:r>
          <w:r w:rsidR="00196DF2" w:rsidRPr="00196DF2">
            <w:rPr>
              <w:noProof/>
            </w:rPr>
            <w:t>[3]</w:t>
          </w:r>
          <w:r w:rsidR="00196DF2">
            <w:rPr>
              <w:noProof/>
            </w:rPr>
            <w:fldChar w:fldCharType="end"/>
          </w:r>
        </w:sdtContent>
      </w:sdt>
    </w:p>
    <w:p w14:paraId="22E57C2E" w14:textId="2AAB88FA" w:rsidR="00083F16" w:rsidRDefault="00714357" w:rsidP="00083F16">
      <w:pPr>
        <w:rPr>
          <w:noProof/>
        </w:rPr>
      </w:pPr>
      <w:r w:rsidRPr="00714357">
        <w:rPr>
          <w:noProof/>
        </w:rPr>
        <w:t>According to the legislation in force, the change in the tax rate can occur even during the same fiscal year. If, during the year, a micro-enterprise exceeds the ceiling of 60,000 euros (calculated at the NBR exchange rate at the beginning of the financial year) or initiates exempt activities, it will be obliged to apply the increased rate of 3% starting with the quarter in which the change took place.</w:t>
      </w:r>
      <w:sdt>
        <w:sdtPr>
          <w:rPr>
            <w:noProof/>
          </w:rPr>
          <w:id w:val="-857039449"/>
          <w:citation/>
        </w:sdtPr>
        <w:sdtContent>
          <w:r w:rsidR="00196DF2">
            <w:rPr>
              <w:noProof/>
            </w:rPr>
            <w:fldChar w:fldCharType="begin"/>
          </w:r>
          <w:r w:rsidR="00196DF2">
            <w:rPr>
              <w:noProof/>
            </w:rPr>
            <w:instrText xml:space="preserve"> CITATION Substituent4 \l 1033 </w:instrText>
          </w:r>
          <w:r w:rsidR="00196DF2">
            <w:rPr>
              <w:noProof/>
            </w:rPr>
            <w:fldChar w:fldCharType="separate"/>
          </w:r>
          <w:r w:rsidR="00196DF2" w:rsidRPr="00196DF2">
            <w:rPr>
              <w:noProof/>
            </w:rPr>
            <w:t>[4]</w:t>
          </w:r>
          <w:r w:rsidR="00196DF2">
            <w:rPr>
              <w:noProof/>
            </w:rPr>
            <w:fldChar w:fldCharType="end"/>
          </w:r>
        </w:sdtContent>
      </w:sdt>
    </w:p>
    <w:p w14:paraId="0560E493" w14:textId="77777777" w:rsidR="00082B80" w:rsidRPr="00305B8E" w:rsidRDefault="00082B80" w:rsidP="00083F16">
      <w:pPr>
        <w:rPr>
          <w:noProof/>
          <w:sz w:val="26"/>
          <w:szCs w:val="26"/>
        </w:rPr>
      </w:pPr>
    </w:p>
    <w:p w14:paraId="33097A43" w14:textId="20D30C5D" w:rsidR="00530E8B" w:rsidRDefault="00530E8B" w:rsidP="00083F16">
      <w:pPr>
        <w:rPr>
          <w:b/>
          <w:bCs/>
          <w:noProof/>
          <w:sz w:val="26"/>
          <w:szCs w:val="26"/>
        </w:rPr>
      </w:pPr>
      <w:r w:rsidRPr="00305B8E">
        <w:rPr>
          <w:b/>
          <w:bCs/>
          <w:noProof/>
          <w:sz w:val="26"/>
          <w:szCs w:val="26"/>
        </w:rPr>
        <w:t>Met</w:t>
      </w:r>
      <w:r w:rsidR="00714357">
        <w:rPr>
          <w:b/>
          <w:bCs/>
          <w:noProof/>
          <w:sz w:val="26"/>
          <w:szCs w:val="26"/>
        </w:rPr>
        <w:t>hodology</w:t>
      </w:r>
    </w:p>
    <w:p w14:paraId="5E606FB9" w14:textId="77777777" w:rsidR="00714357" w:rsidRPr="00305B8E" w:rsidRDefault="00714357" w:rsidP="00083F16">
      <w:pPr>
        <w:rPr>
          <w:b/>
          <w:bCs/>
          <w:noProof/>
          <w:sz w:val="26"/>
          <w:szCs w:val="26"/>
        </w:rPr>
      </w:pPr>
    </w:p>
    <w:p w14:paraId="56D3246D" w14:textId="77777777" w:rsidR="00714357" w:rsidRDefault="00714357" w:rsidP="00B53C41">
      <w:pPr>
        <w:rPr>
          <w:noProof/>
          <w:lang w:val="ro-RO"/>
        </w:rPr>
      </w:pPr>
      <w:r w:rsidRPr="00714357">
        <w:rPr>
          <w:noProof/>
          <w:lang w:val="ro-RO"/>
        </w:rPr>
        <w:t>This research adopts a mixed approach, combining the case study method with longitudinal quantitative analysis to examine the practical application of the tax regime for microenterprises in Romania. The research design is descriptive-analytical, aiming to identify and explain the mechanisms of calculating the tax on microenterprises through the lens of a concrete application.</w:t>
      </w:r>
    </w:p>
    <w:p w14:paraId="310375C0" w14:textId="77777777" w:rsidR="00714357" w:rsidRDefault="00714357" w:rsidP="00B53C41">
      <w:pPr>
        <w:rPr>
          <w:noProof/>
          <w:lang w:val="ro-RO"/>
        </w:rPr>
      </w:pPr>
      <w:r w:rsidRPr="00714357">
        <w:rPr>
          <w:noProof/>
          <w:lang w:val="ro-RO"/>
        </w:rPr>
        <w:t>The research uses the single case study strategy, focusing on the in-depth analysis of SC DECONCAVA SRL during the period 2020-2023. The choice of this company was based on strict selection criteria: constant inclusion in the microenterprise regime throughout the analyzed period, the availability of complete and verifiable financial data, representativeness for the category of microenterprises in Romania, and the absence of major changes in activity that could distort the analysis. In order to capture the evolution of fiscal indicators over time, a longitudinal analysis was chosen for a period of four consecutive years, allowing the identification of trends and variations in the application of the fiscal regime, as well as the assessment of the impact of legislative changes on the fiscal performance of the company.</w:t>
      </w:r>
    </w:p>
    <w:p w14:paraId="405C79B1" w14:textId="27B36B25" w:rsidR="00B53C41" w:rsidRPr="00727358" w:rsidRDefault="00714357" w:rsidP="00B53C41">
      <w:pPr>
        <w:rPr>
          <w:noProof/>
          <w:lang w:val="ro-RO"/>
        </w:rPr>
      </w:pPr>
      <w:r w:rsidRPr="00714357">
        <w:rPr>
          <w:noProof/>
          <w:lang w:val="ro-RO"/>
        </w:rPr>
        <w:lastRenderedPageBreak/>
        <w:t>Data collection was carried out using a wide range of primary and secondary sources, ensuring the comprehensiveness and validity of the information. Primary sources included the annual trial balance for the period 2020-2023, the annual balance sheet and profit and loss account, quarterly tax returns (Form 100) and the journal with supporting documents related to income and expenses. From the category of secondary sources, the Romanian Fiscal Code (Law no. 227/2015) and subsequent amendments, the methodological rules for the application of the Fiscal Code, specialized literature in the field of microenterprise taxation and reports of the Ministry of Public Finance were used. The collection process was carried out in three distinct stages: the inventory stage to identify and catalog all available documents, the extraction stage to select and codify relevant data for research and the validation stage to verify the coherence and completeness of the collected data, while respecting the principles of confidentiality and partial anonymization of sensitive information</w:t>
      </w:r>
      <w:r w:rsidR="00B53C41" w:rsidRPr="00727358">
        <w:rPr>
          <w:noProof/>
          <w:lang w:val="ro-RO"/>
        </w:rPr>
        <w:t>.</w:t>
      </w:r>
    </w:p>
    <w:p w14:paraId="5FC7F84B" w14:textId="77777777" w:rsidR="00714357" w:rsidRDefault="00714357" w:rsidP="00305B8E">
      <w:pPr>
        <w:rPr>
          <w:noProof/>
          <w:lang w:val="ro-RO"/>
        </w:rPr>
      </w:pPr>
      <w:r w:rsidRPr="00714357">
        <w:rPr>
          <w:noProof/>
          <w:lang w:val="ro-RO"/>
        </w:rPr>
        <w:t>Data processing and analysis were carried out using a combination of tools and methods specific to quantitative research. The collected data were centralized and processed using Microsoft.</w:t>
      </w:r>
    </w:p>
    <w:p w14:paraId="17961A1A" w14:textId="6263B4C8" w:rsidR="005967B6" w:rsidRDefault="00714357" w:rsidP="00175417">
      <w:pPr>
        <w:rPr>
          <w:noProof/>
          <w:lang w:val="ro-RO"/>
        </w:rPr>
      </w:pPr>
      <w:r w:rsidRPr="00714357">
        <w:rPr>
          <w:noProof/>
          <w:lang w:val="ro-RO"/>
        </w:rPr>
        <w:t>At the same time, we used Declaration 100 – an electronically submitted tax form – to make a comparison between the two tax rates applicable to microenterprises, respectively 1% and 3%.</w:t>
      </w:r>
    </w:p>
    <w:p w14:paraId="7D8D91BA" w14:textId="77777777" w:rsidR="00714357" w:rsidRDefault="00714357" w:rsidP="00175417">
      <w:pPr>
        <w:rPr>
          <w:noProof/>
          <w:lang w:val="ro-RO"/>
        </w:rPr>
      </w:pPr>
    </w:p>
    <w:p w14:paraId="05DA2663" w14:textId="29273C76" w:rsidR="00B53C41" w:rsidRDefault="00305B8E" w:rsidP="00714357">
      <w:pPr>
        <w:rPr>
          <w:b/>
          <w:bCs/>
          <w:noProof/>
          <w:sz w:val="26"/>
          <w:szCs w:val="26"/>
        </w:rPr>
      </w:pPr>
      <w:r w:rsidRPr="00305B8E">
        <w:rPr>
          <w:b/>
          <w:bCs/>
          <w:noProof/>
          <w:sz w:val="26"/>
          <w:szCs w:val="26"/>
        </w:rPr>
        <w:t>Re</w:t>
      </w:r>
      <w:r w:rsidR="00714357">
        <w:rPr>
          <w:b/>
          <w:bCs/>
          <w:noProof/>
          <w:sz w:val="26"/>
          <w:szCs w:val="26"/>
        </w:rPr>
        <w:t>sult</w:t>
      </w:r>
    </w:p>
    <w:p w14:paraId="1D8CD1E9" w14:textId="77777777" w:rsidR="00714357" w:rsidRPr="00714357" w:rsidRDefault="00714357" w:rsidP="00714357">
      <w:pPr>
        <w:rPr>
          <w:noProof/>
          <w:sz w:val="26"/>
          <w:szCs w:val="26"/>
          <w:lang w:val="ro-RO"/>
        </w:rPr>
      </w:pPr>
    </w:p>
    <w:p w14:paraId="52CF2114" w14:textId="77777777" w:rsidR="00A168E2" w:rsidRDefault="00714357" w:rsidP="00A168E2">
      <w:pPr>
        <w:rPr>
          <w:noProof/>
          <w:lang w:val="ro-RO"/>
        </w:rPr>
      </w:pPr>
      <w:r w:rsidRPr="00714357">
        <w:rPr>
          <w:noProof/>
          <w:lang w:val="ro-RO"/>
        </w:rPr>
        <w:t>The analysis of the financial data of SC DECONCAVA SRL for the period 2020-2023 generated a series of significant findings regarding the practical application of the tax regime for micro-enterprises in the Romanian economic context. The results obtained through the systematic processing of accounting and tax information provide a perspective on the evolution of key performance indicators and the impact of specific tax legislation on the activity of the analyzed company. The detailed examination of the income structure highlighted particular characteristics of the economic activity carried out by the company, with direct implications on the calculation of the tax due. By processing the financial data, it was found that all income recorded during the analyzed period was taxable, the absence of exempt or exempt income significantly simplifying the application of tax calculation formulas.</w:t>
      </w:r>
    </w:p>
    <w:p w14:paraId="15F46D43" w14:textId="56248A01" w:rsidR="00A168E2" w:rsidRPr="00A168E2" w:rsidRDefault="00A168E2" w:rsidP="00A168E2">
      <w:pPr>
        <w:rPr>
          <w:noProof/>
          <w:lang w:val="ro-RO"/>
        </w:rPr>
      </w:pPr>
      <w:r w:rsidRPr="00A168E2">
        <w:rPr>
          <w:noProof/>
          <w:lang w:val="ro-RO"/>
        </w:rPr>
        <w:t>Analysis of taxable and non-taxable income:</w:t>
      </w:r>
    </w:p>
    <w:p w14:paraId="05B8352C" w14:textId="6D43A317" w:rsidR="008368C2" w:rsidRDefault="00A168E2" w:rsidP="005967B6">
      <w:pPr>
        <w:pStyle w:val="Legend"/>
        <w:spacing w:before="240" w:after="0"/>
        <w:jc w:val="center"/>
        <w:rPr>
          <w:noProof/>
          <w:lang w:val="ro-RO"/>
        </w:rPr>
      </w:pPr>
      <w:r w:rsidRPr="00A168E2">
        <w:t>Table 1. Analysis of taxable and non-taxable income at SC DECONCAVA SRL</w:t>
      </w:r>
    </w:p>
    <w:tbl>
      <w:tblPr>
        <w:tblStyle w:val="Tabelgril1"/>
        <w:tblW w:w="8275" w:type="dxa"/>
        <w:jc w:val="center"/>
        <w:tblInd w:w="0" w:type="dxa"/>
        <w:tblLook w:val="04A0" w:firstRow="1" w:lastRow="0" w:firstColumn="1" w:lastColumn="0" w:noHBand="0" w:noVBand="1"/>
      </w:tblPr>
      <w:tblGrid>
        <w:gridCol w:w="2409"/>
        <w:gridCol w:w="1441"/>
        <w:gridCol w:w="1427"/>
        <w:gridCol w:w="1428"/>
        <w:gridCol w:w="1570"/>
      </w:tblGrid>
      <w:tr w:rsidR="008368C2" w:rsidRPr="008368C2" w14:paraId="6BF7D6A6" w14:textId="77777777" w:rsidTr="005967B6">
        <w:trPr>
          <w:trHeight w:val="354"/>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769321F2" w14:textId="7D99D490" w:rsidR="008368C2" w:rsidRPr="005967B6" w:rsidRDefault="008368C2" w:rsidP="008368C2">
            <w:pPr>
              <w:spacing w:line="240" w:lineRule="auto"/>
              <w:ind w:firstLine="0"/>
              <w:jc w:val="center"/>
              <w:rPr>
                <w:b/>
                <w:bCs/>
                <w:sz w:val="18"/>
                <w:szCs w:val="18"/>
              </w:rPr>
            </w:pPr>
            <w:r w:rsidRPr="005967B6">
              <w:rPr>
                <w:b/>
                <w:bCs/>
                <w:sz w:val="18"/>
                <w:szCs w:val="18"/>
              </w:rPr>
              <w:t>Indicator (</w:t>
            </w:r>
            <w:r w:rsidR="00A168E2">
              <w:rPr>
                <w:b/>
                <w:bCs/>
                <w:sz w:val="18"/>
                <w:szCs w:val="18"/>
              </w:rPr>
              <w:t>RON</w:t>
            </w:r>
            <w:r w:rsidRPr="005967B6">
              <w:rPr>
                <w:b/>
                <w:bCs/>
                <w:sz w:val="18"/>
                <w:szCs w:val="18"/>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58A4744" w14:textId="77777777" w:rsidR="008368C2" w:rsidRPr="005967B6" w:rsidRDefault="008368C2" w:rsidP="008368C2">
            <w:pPr>
              <w:spacing w:line="240" w:lineRule="auto"/>
              <w:ind w:firstLine="0"/>
              <w:jc w:val="center"/>
              <w:rPr>
                <w:b/>
                <w:bCs/>
                <w:sz w:val="18"/>
                <w:szCs w:val="18"/>
              </w:rPr>
            </w:pPr>
            <w:r w:rsidRPr="005967B6">
              <w:rPr>
                <w:b/>
                <w:bCs/>
                <w:sz w:val="18"/>
                <w:szCs w:val="18"/>
              </w:rPr>
              <w:t>2020</w:t>
            </w:r>
          </w:p>
        </w:tc>
        <w:tc>
          <w:tcPr>
            <w:tcW w:w="1427" w:type="dxa"/>
            <w:tcBorders>
              <w:top w:val="single" w:sz="4" w:space="0" w:color="auto"/>
              <w:left w:val="single" w:sz="4" w:space="0" w:color="auto"/>
              <w:bottom w:val="single" w:sz="4" w:space="0" w:color="auto"/>
              <w:right w:val="single" w:sz="4" w:space="0" w:color="auto"/>
            </w:tcBorders>
            <w:vAlign w:val="center"/>
            <w:hideMark/>
          </w:tcPr>
          <w:p w14:paraId="24DCA30B" w14:textId="77777777" w:rsidR="008368C2" w:rsidRPr="005967B6" w:rsidRDefault="008368C2" w:rsidP="008368C2">
            <w:pPr>
              <w:spacing w:line="240" w:lineRule="auto"/>
              <w:ind w:firstLine="0"/>
              <w:jc w:val="center"/>
              <w:rPr>
                <w:b/>
                <w:bCs/>
                <w:sz w:val="18"/>
                <w:szCs w:val="18"/>
              </w:rPr>
            </w:pPr>
            <w:r w:rsidRPr="005967B6">
              <w:rPr>
                <w:b/>
                <w:bCs/>
                <w:sz w:val="18"/>
                <w:szCs w:val="18"/>
              </w:rPr>
              <w:t>2021</w:t>
            </w:r>
          </w:p>
        </w:tc>
        <w:tc>
          <w:tcPr>
            <w:tcW w:w="1428" w:type="dxa"/>
            <w:tcBorders>
              <w:top w:val="single" w:sz="4" w:space="0" w:color="auto"/>
              <w:left w:val="single" w:sz="4" w:space="0" w:color="auto"/>
              <w:bottom w:val="single" w:sz="4" w:space="0" w:color="auto"/>
              <w:right w:val="single" w:sz="4" w:space="0" w:color="auto"/>
            </w:tcBorders>
            <w:vAlign w:val="center"/>
            <w:hideMark/>
          </w:tcPr>
          <w:p w14:paraId="3F679E55" w14:textId="77777777" w:rsidR="008368C2" w:rsidRPr="005967B6" w:rsidRDefault="008368C2" w:rsidP="008368C2">
            <w:pPr>
              <w:spacing w:line="240" w:lineRule="auto"/>
              <w:ind w:firstLine="0"/>
              <w:jc w:val="center"/>
              <w:rPr>
                <w:b/>
                <w:bCs/>
                <w:sz w:val="18"/>
                <w:szCs w:val="18"/>
              </w:rPr>
            </w:pPr>
            <w:r w:rsidRPr="005967B6">
              <w:rPr>
                <w:b/>
                <w:bCs/>
                <w:sz w:val="18"/>
                <w:szCs w:val="18"/>
              </w:rPr>
              <w:t>2022</w:t>
            </w:r>
          </w:p>
        </w:tc>
        <w:tc>
          <w:tcPr>
            <w:tcW w:w="1570" w:type="dxa"/>
            <w:tcBorders>
              <w:top w:val="single" w:sz="4" w:space="0" w:color="auto"/>
              <w:left w:val="single" w:sz="4" w:space="0" w:color="auto"/>
              <w:bottom w:val="single" w:sz="4" w:space="0" w:color="auto"/>
              <w:right w:val="single" w:sz="4" w:space="0" w:color="auto"/>
            </w:tcBorders>
            <w:vAlign w:val="center"/>
            <w:hideMark/>
          </w:tcPr>
          <w:p w14:paraId="05320BB5" w14:textId="77777777" w:rsidR="008368C2" w:rsidRPr="005967B6" w:rsidRDefault="008368C2" w:rsidP="008368C2">
            <w:pPr>
              <w:spacing w:line="240" w:lineRule="auto"/>
              <w:ind w:firstLine="0"/>
              <w:jc w:val="center"/>
              <w:rPr>
                <w:b/>
                <w:bCs/>
                <w:sz w:val="18"/>
                <w:szCs w:val="18"/>
              </w:rPr>
            </w:pPr>
            <w:r w:rsidRPr="005967B6">
              <w:rPr>
                <w:b/>
                <w:bCs/>
                <w:sz w:val="18"/>
                <w:szCs w:val="18"/>
              </w:rPr>
              <w:t>2023</w:t>
            </w:r>
          </w:p>
        </w:tc>
      </w:tr>
      <w:tr w:rsidR="008368C2" w:rsidRPr="008368C2" w14:paraId="32E6A07E" w14:textId="77777777" w:rsidTr="005967B6">
        <w:trPr>
          <w:trHeight w:val="354"/>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1DF28B7A" w14:textId="6873D55C" w:rsidR="008368C2" w:rsidRPr="00C32E76" w:rsidRDefault="00A168E2" w:rsidP="008368C2">
            <w:pPr>
              <w:spacing w:line="240" w:lineRule="auto"/>
              <w:ind w:firstLine="0"/>
              <w:jc w:val="center"/>
              <w:rPr>
                <w:sz w:val="18"/>
                <w:szCs w:val="18"/>
                <w:lang w:val="en-US"/>
              </w:rPr>
            </w:pPr>
            <w:r w:rsidRPr="00C32E76">
              <w:rPr>
                <w:sz w:val="18"/>
                <w:szCs w:val="18"/>
                <w:lang w:val="en-US"/>
              </w:rPr>
              <w:t>Total income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CDD93D2" w14:textId="77777777" w:rsidR="008368C2" w:rsidRPr="005967B6" w:rsidRDefault="008368C2" w:rsidP="008368C2">
            <w:pPr>
              <w:spacing w:line="240" w:lineRule="auto"/>
              <w:ind w:firstLine="0"/>
              <w:jc w:val="center"/>
              <w:rPr>
                <w:sz w:val="18"/>
                <w:szCs w:val="18"/>
              </w:rPr>
            </w:pPr>
            <w:r w:rsidRPr="005967B6">
              <w:rPr>
                <w:sz w:val="18"/>
                <w:szCs w:val="18"/>
              </w:rPr>
              <w:t>1.480.329</w:t>
            </w:r>
          </w:p>
        </w:tc>
        <w:tc>
          <w:tcPr>
            <w:tcW w:w="1427" w:type="dxa"/>
            <w:tcBorders>
              <w:top w:val="single" w:sz="4" w:space="0" w:color="auto"/>
              <w:left w:val="single" w:sz="4" w:space="0" w:color="auto"/>
              <w:bottom w:val="single" w:sz="4" w:space="0" w:color="auto"/>
              <w:right w:val="single" w:sz="4" w:space="0" w:color="auto"/>
            </w:tcBorders>
            <w:vAlign w:val="center"/>
            <w:hideMark/>
          </w:tcPr>
          <w:p w14:paraId="5B7CCA96" w14:textId="77777777" w:rsidR="008368C2" w:rsidRPr="005967B6" w:rsidRDefault="008368C2" w:rsidP="008368C2">
            <w:pPr>
              <w:spacing w:line="240" w:lineRule="auto"/>
              <w:ind w:firstLine="0"/>
              <w:jc w:val="center"/>
              <w:rPr>
                <w:sz w:val="18"/>
                <w:szCs w:val="18"/>
              </w:rPr>
            </w:pPr>
            <w:r w:rsidRPr="005967B6">
              <w:rPr>
                <w:sz w:val="18"/>
                <w:szCs w:val="18"/>
              </w:rPr>
              <w:t>1.612.954</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D74BA87" w14:textId="77777777" w:rsidR="008368C2" w:rsidRPr="005967B6" w:rsidRDefault="008368C2" w:rsidP="008368C2">
            <w:pPr>
              <w:spacing w:line="240" w:lineRule="auto"/>
              <w:ind w:firstLine="0"/>
              <w:jc w:val="center"/>
              <w:rPr>
                <w:sz w:val="18"/>
                <w:szCs w:val="18"/>
              </w:rPr>
            </w:pPr>
            <w:r w:rsidRPr="005967B6">
              <w:rPr>
                <w:sz w:val="18"/>
                <w:szCs w:val="18"/>
              </w:rPr>
              <w:t>1.853.293</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224A54F" w14:textId="77777777" w:rsidR="008368C2" w:rsidRPr="005967B6" w:rsidRDefault="008368C2" w:rsidP="008368C2">
            <w:pPr>
              <w:spacing w:line="240" w:lineRule="auto"/>
              <w:ind w:firstLine="0"/>
              <w:jc w:val="center"/>
              <w:rPr>
                <w:sz w:val="18"/>
                <w:szCs w:val="18"/>
              </w:rPr>
            </w:pPr>
            <w:r w:rsidRPr="005967B6">
              <w:rPr>
                <w:sz w:val="18"/>
                <w:szCs w:val="18"/>
              </w:rPr>
              <w:t>1.641.786</w:t>
            </w:r>
          </w:p>
        </w:tc>
      </w:tr>
      <w:tr w:rsidR="008368C2" w:rsidRPr="008368C2" w14:paraId="312B4C6F" w14:textId="77777777" w:rsidTr="005967B6">
        <w:trPr>
          <w:trHeight w:val="341"/>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54A7BE9D" w14:textId="7ACAD947" w:rsidR="008368C2" w:rsidRPr="00C32E76" w:rsidRDefault="00A168E2" w:rsidP="008368C2">
            <w:pPr>
              <w:spacing w:line="240" w:lineRule="auto"/>
              <w:ind w:firstLine="0"/>
              <w:jc w:val="center"/>
              <w:rPr>
                <w:sz w:val="18"/>
                <w:szCs w:val="18"/>
                <w:lang w:val="en-US"/>
              </w:rPr>
            </w:pPr>
            <w:r w:rsidRPr="00C32E76">
              <w:rPr>
                <w:sz w:val="18"/>
                <w:szCs w:val="18"/>
                <w:lang w:val="en-US"/>
              </w:rPr>
              <w:t>Non-taxable income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24879C2" w14:textId="77777777" w:rsidR="008368C2" w:rsidRPr="005967B6" w:rsidRDefault="008368C2" w:rsidP="008368C2">
            <w:pPr>
              <w:spacing w:line="240" w:lineRule="auto"/>
              <w:ind w:firstLine="0"/>
              <w:jc w:val="center"/>
              <w:rPr>
                <w:sz w:val="18"/>
                <w:szCs w:val="18"/>
              </w:rPr>
            </w:pPr>
            <w:r w:rsidRPr="005967B6">
              <w:rPr>
                <w:sz w:val="18"/>
                <w:szCs w:val="18"/>
              </w:rPr>
              <w:t>0</w:t>
            </w:r>
          </w:p>
        </w:tc>
        <w:tc>
          <w:tcPr>
            <w:tcW w:w="1427" w:type="dxa"/>
            <w:tcBorders>
              <w:top w:val="single" w:sz="4" w:space="0" w:color="auto"/>
              <w:left w:val="single" w:sz="4" w:space="0" w:color="auto"/>
              <w:bottom w:val="single" w:sz="4" w:space="0" w:color="auto"/>
              <w:right w:val="single" w:sz="4" w:space="0" w:color="auto"/>
            </w:tcBorders>
            <w:vAlign w:val="center"/>
            <w:hideMark/>
          </w:tcPr>
          <w:p w14:paraId="7173D074" w14:textId="77777777" w:rsidR="008368C2" w:rsidRPr="005967B6" w:rsidRDefault="008368C2" w:rsidP="008368C2">
            <w:pPr>
              <w:spacing w:line="240" w:lineRule="auto"/>
              <w:ind w:firstLine="0"/>
              <w:jc w:val="center"/>
              <w:rPr>
                <w:sz w:val="18"/>
                <w:szCs w:val="18"/>
              </w:rPr>
            </w:pPr>
            <w:r w:rsidRPr="005967B6">
              <w:rPr>
                <w:sz w:val="18"/>
                <w:szCs w:val="18"/>
              </w:rPr>
              <w:t>0</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310EF33" w14:textId="77777777" w:rsidR="008368C2" w:rsidRPr="005967B6" w:rsidRDefault="008368C2" w:rsidP="008368C2">
            <w:pPr>
              <w:spacing w:line="240" w:lineRule="auto"/>
              <w:ind w:firstLine="0"/>
              <w:jc w:val="center"/>
              <w:rPr>
                <w:sz w:val="18"/>
                <w:szCs w:val="18"/>
              </w:rPr>
            </w:pPr>
            <w:r w:rsidRPr="005967B6">
              <w:rPr>
                <w:sz w:val="18"/>
                <w:szCs w:val="18"/>
              </w:rPr>
              <w:t>0</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BB53126" w14:textId="77777777" w:rsidR="008368C2" w:rsidRPr="005967B6" w:rsidRDefault="008368C2" w:rsidP="008368C2">
            <w:pPr>
              <w:spacing w:line="240" w:lineRule="auto"/>
              <w:ind w:firstLine="0"/>
              <w:jc w:val="center"/>
              <w:rPr>
                <w:sz w:val="18"/>
                <w:szCs w:val="18"/>
              </w:rPr>
            </w:pPr>
            <w:r w:rsidRPr="005967B6">
              <w:rPr>
                <w:sz w:val="18"/>
                <w:szCs w:val="18"/>
              </w:rPr>
              <w:t>0</w:t>
            </w:r>
          </w:p>
        </w:tc>
      </w:tr>
      <w:tr w:rsidR="008368C2" w:rsidRPr="008368C2" w14:paraId="2F39A376" w14:textId="77777777" w:rsidTr="005967B6">
        <w:trPr>
          <w:trHeight w:val="354"/>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65200FB2" w14:textId="746B220C" w:rsidR="008368C2" w:rsidRPr="00C32E76" w:rsidRDefault="00A168E2" w:rsidP="008368C2">
            <w:pPr>
              <w:spacing w:line="240" w:lineRule="auto"/>
              <w:ind w:firstLine="0"/>
              <w:jc w:val="center"/>
              <w:rPr>
                <w:sz w:val="18"/>
                <w:szCs w:val="18"/>
                <w:lang w:val="en-US"/>
              </w:rPr>
            </w:pPr>
            <w:r w:rsidRPr="00C32E76">
              <w:rPr>
                <w:sz w:val="18"/>
                <w:szCs w:val="18"/>
                <w:lang w:val="en-US"/>
              </w:rPr>
              <w:t>Taxable income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A07038C" w14:textId="77777777" w:rsidR="008368C2" w:rsidRPr="005967B6" w:rsidRDefault="008368C2" w:rsidP="008368C2">
            <w:pPr>
              <w:spacing w:line="240" w:lineRule="auto"/>
              <w:ind w:firstLine="0"/>
              <w:jc w:val="center"/>
              <w:rPr>
                <w:sz w:val="18"/>
                <w:szCs w:val="18"/>
              </w:rPr>
            </w:pPr>
            <w:r w:rsidRPr="005967B6">
              <w:rPr>
                <w:sz w:val="18"/>
                <w:szCs w:val="18"/>
              </w:rPr>
              <w:t>1.480.329</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A1FCA35" w14:textId="77777777" w:rsidR="008368C2" w:rsidRPr="005967B6" w:rsidRDefault="008368C2" w:rsidP="008368C2">
            <w:pPr>
              <w:spacing w:line="240" w:lineRule="auto"/>
              <w:ind w:firstLine="0"/>
              <w:jc w:val="center"/>
              <w:rPr>
                <w:sz w:val="18"/>
                <w:szCs w:val="18"/>
              </w:rPr>
            </w:pPr>
            <w:r w:rsidRPr="005967B6">
              <w:rPr>
                <w:sz w:val="18"/>
                <w:szCs w:val="18"/>
              </w:rPr>
              <w:t>1.612.954</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09D1D82" w14:textId="77777777" w:rsidR="008368C2" w:rsidRPr="005967B6" w:rsidRDefault="008368C2" w:rsidP="008368C2">
            <w:pPr>
              <w:spacing w:line="240" w:lineRule="auto"/>
              <w:ind w:firstLine="0"/>
              <w:jc w:val="center"/>
              <w:rPr>
                <w:sz w:val="18"/>
                <w:szCs w:val="18"/>
              </w:rPr>
            </w:pPr>
            <w:r w:rsidRPr="005967B6">
              <w:rPr>
                <w:sz w:val="18"/>
                <w:szCs w:val="18"/>
              </w:rPr>
              <w:t>1.853.293</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681DE4B" w14:textId="77777777" w:rsidR="008368C2" w:rsidRPr="005967B6" w:rsidRDefault="008368C2" w:rsidP="008368C2">
            <w:pPr>
              <w:spacing w:line="240" w:lineRule="auto"/>
              <w:ind w:firstLine="0"/>
              <w:jc w:val="center"/>
              <w:rPr>
                <w:sz w:val="18"/>
                <w:szCs w:val="18"/>
              </w:rPr>
            </w:pPr>
            <w:r w:rsidRPr="005967B6">
              <w:rPr>
                <w:sz w:val="18"/>
                <w:szCs w:val="18"/>
              </w:rPr>
              <w:t>1.641.786</w:t>
            </w:r>
          </w:p>
        </w:tc>
      </w:tr>
    </w:tbl>
    <w:p w14:paraId="355B130B" w14:textId="77777777" w:rsidR="00A168E2" w:rsidRDefault="00A168E2" w:rsidP="00A168E2">
      <w:pPr>
        <w:jc w:val="center"/>
        <w:rPr>
          <w:i/>
          <w:iCs/>
          <w:noProof/>
          <w:color w:val="44546A" w:themeColor="text2"/>
          <w:sz w:val="18"/>
          <w:szCs w:val="18"/>
          <w:lang w:val="ro-RO"/>
        </w:rPr>
      </w:pPr>
      <w:r w:rsidRPr="00A168E2">
        <w:rPr>
          <w:i/>
          <w:iCs/>
          <w:noProof/>
          <w:color w:val="44546A" w:themeColor="text2"/>
          <w:sz w:val="18"/>
          <w:szCs w:val="18"/>
          <w:lang w:val="ro-RO"/>
        </w:rPr>
        <w:t>Source: own processing</w:t>
      </w:r>
    </w:p>
    <w:p w14:paraId="616458FC" w14:textId="77777777" w:rsidR="00A168E2" w:rsidRDefault="00A168E2" w:rsidP="00082B80">
      <w:pPr>
        <w:rPr>
          <w:i/>
          <w:iCs/>
          <w:noProof/>
          <w:color w:val="44546A" w:themeColor="text2"/>
          <w:sz w:val="18"/>
          <w:szCs w:val="18"/>
          <w:lang w:val="ro-RO"/>
        </w:rPr>
      </w:pPr>
    </w:p>
    <w:p w14:paraId="5D0AED38" w14:textId="073923FD" w:rsidR="005967B6" w:rsidRDefault="00A168E2" w:rsidP="00082B80">
      <w:pPr>
        <w:rPr>
          <w:lang w:val="ro-RO"/>
        </w:rPr>
      </w:pPr>
      <w:r w:rsidRPr="00C32E76">
        <w:t>The data in the table confirms that SC DECONCAVA SRL recorded fully taxable income throughout the analyzed period, which simplifies the application of the tax regime and reflects a stable economic activity, with a peak performance in 2022</w:t>
      </w:r>
      <w:r w:rsidRPr="00A168E2">
        <w:rPr>
          <w:lang w:val="ro-RO"/>
        </w:rPr>
        <w:t>.</w:t>
      </w:r>
    </w:p>
    <w:p w14:paraId="719926A2" w14:textId="77777777" w:rsidR="00727358" w:rsidRDefault="00727358" w:rsidP="00082B80">
      <w:pPr>
        <w:rPr>
          <w:lang w:val="ro-RO"/>
        </w:rPr>
      </w:pPr>
    </w:p>
    <w:p w14:paraId="38F88769" w14:textId="77777777" w:rsidR="00727358" w:rsidRDefault="00727358" w:rsidP="00A168E2">
      <w:pPr>
        <w:ind w:firstLine="0"/>
        <w:rPr>
          <w:lang w:val="ro-RO"/>
        </w:rPr>
      </w:pPr>
    </w:p>
    <w:p w14:paraId="79E47016" w14:textId="77777777" w:rsidR="00A168E2" w:rsidRDefault="00A168E2" w:rsidP="00A168E2">
      <w:pPr>
        <w:ind w:firstLine="0"/>
        <w:rPr>
          <w:lang w:val="ro-RO"/>
        </w:rPr>
      </w:pPr>
    </w:p>
    <w:p w14:paraId="46F1F4DF" w14:textId="77777777" w:rsidR="00A168E2" w:rsidRDefault="00A168E2" w:rsidP="00A168E2">
      <w:pPr>
        <w:ind w:firstLine="0"/>
        <w:rPr>
          <w:lang w:val="ro-RO"/>
        </w:rPr>
      </w:pPr>
    </w:p>
    <w:p w14:paraId="3CBD4783" w14:textId="77777777" w:rsidR="00A168E2" w:rsidRDefault="00A168E2" w:rsidP="00A168E2">
      <w:pPr>
        <w:ind w:firstLine="0"/>
        <w:rPr>
          <w:lang w:val="ro-RO"/>
        </w:rPr>
      </w:pPr>
    </w:p>
    <w:p w14:paraId="2CEC35E3" w14:textId="77777777" w:rsidR="00A168E2" w:rsidRDefault="00A168E2" w:rsidP="00A168E2">
      <w:pPr>
        <w:ind w:firstLine="0"/>
        <w:rPr>
          <w:lang w:val="ro-RO"/>
        </w:rPr>
      </w:pPr>
    </w:p>
    <w:p w14:paraId="227BF297" w14:textId="77777777" w:rsidR="00A168E2" w:rsidRDefault="00A168E2" w:rsidP="00A168E2">
      <w:pPr>
        <w:ind w:firstLine="0"/>
        <w:rPr>
          <w:lang w:val="ro-RO"/>
        </w:rPr>
      </w:pPr>
    </w:p>
    <w:p w14:paraId="59EEC2B4" w14:textId="77777777" w:rsidR="00A168E2" w:rsidRDefault="00A168E2" w:rsidP="00A168E2">
      <w:pPr>
        <w:ind w:firstLine="0"/>
        <w:rPr>
          <w:lang w:val="ro-RO"/>
        </w:rPr>
      </w:pPr>
    </w:p>
    <w:p w14:paraId="0281173F" w14:textId="77777777" w:rsidR="00A168E2" w:rsidRDefault="00A168E2" w:rsidP="00A168E2">
      <w:pPr>
        <w:ind w:firstLine="0"/>
        <w:rPr>
          <w:lang w:val="ro-RO"/>
        </w:rPr>
      </w:pPr>
    </w:p>
    <w:p w14:paraId="29A026CA" w14:textId="77777777" w:rsidR="00A168E2" w:rsidRDefault="00A168E2" w:rsidP="00A168E2">
      <w:pPr>
        <w:ind w:firstLine="0"/>
        <w:rPr>
          <w:lang w:val="ro-RO"/>
        </w:rPr>
      </w:pPr>
    </w:p>
    <w:p w14:paraId="22653511" w14:textId="77777777" w:rsidR="00A168E2" w:rsidRDefault="00A168E2" w:rsidP="00A168E2">
      <w:pPr>
        <w:ind w:firstLine="0"/>
        <w:rPr>
          <w:lang w:val="ro-RO"/>
        </w:rPr>
      </w:pPr>
    </w:p>
    <w:p w14:paraId="15D84CA6" w14:textId="7922A46A" w:rsidR="00145116" w:rsidRDefault="00A168E2" w:rsidP="002019AE">
      <w:pPr>
        <w:rPr>
          <w:noProof/>
          <w:lang w:val="ro-RO"/>
        </w:rPr>
      </w:pPr>
      <w:r w:rsidRPr="00A168E2">
        <w:rPr>
          <w:noProof/>
          <w:lang w:val="ro-RO"/>
        </w:rPr>
        <w:lastRenderedPageBreak/>
        <w:t>Evolution of income and expenses over the 4 years:</w:t>
      </w:r>
    </w:p>
    <w:p w14:paraId="1FB84630" w14:textId="598DC974" w:rsidR="00482716" w:rsidRDefault="00482716" w:rsidP="00482716">
      <w:pPr>
        <w:jc w:val="center"/>
        <w:rPr>
          <w:noProof/>
          <w:lang w:val="ro-RO"/>
        </w:rPr>
      </w:pPr>
      <w:r>
        <w:rPr>
          <w:noProof/>
        </w:rPr>
        <w:drawing>
          <wp:inline distT="0" distB="0" distL="0" distR="0" wp14:anchorId="2F764121" wp14:editId="2F6A372E">
            <wp:extent cx="4686300" cy="2717800"/>
            <wp:effectExtent l="0" t="0" r="0" b="6350"/>
            <wp:docPr id="623477391" name="Diagramă 1">
              <a:extLst xmlns:a="http://schemas.openxmlformats.org/drawingml/2006/main">
                <a:ext uri="{FF2B5EF4-FFF2-40B4-BE49-F238E27FC236}">
                  <a16:creationId xmlns:a16="http://schemas.microsoft.com/office/drawing/2014/main" id="{05A32641-44C4-6970-5D5F-D06E22914A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7FE879" w14:textId="77777777" w:rsidR="005827D2" w:rsidRDefault="005827D2" w:rsidP="00482716">
      <w:pPr>
        <w:pStyle w:val="Legend"/>
        <w:spacing w:after="0"/>
        <w:jc w:val="center"/>
      </w:pPr>
      <w:r w:rsidRPr="005827D2">
        <w:t>Figure 1: Evolution of income and expenses at SC DECONCAVA SRL</w:t>
      </w:r>
    </w:p>
    <w:p w14:paraId="6AF32CF0" w14:textId="38BF561A" w:rsidR="00145116" w:rsidRDefault="005827D2" w:rsidP="005827D2">
      <w:pPr>
        <w:jc w:val="center"/>
        <w:rPr>
          <w:i/>
          <w:iCs/>
          <w:color w:val="44546A" w:themeColor="text2"/>
          <w:sz w:val="18"/>
          <w:szCs w:val="18"/>
        </w:rPr>
      </w:pPr>
      <w:r w:rsidRPr="005827D2">
        <w:rPr>
          <w:i/>
          <w:iCs/>
          <w:color w:val="44546A" w:themeColor="text2"/>
          <w:sz w:val="18"/>
          <w:szCs w:val="18"/>
        </w:rPr>
        <w:t>Source: own processing</w:t>
      </w:r>
    </w:p>
    <w:p w14:paraId="66BE5102" w14:textId="77777777" w:rsidR="005827D2" w:rsidRDefault="005827D2" w:rsidP="005827D2">
      <w:pPr>
        <w:jc w:val="center"/>
        <w:rPr>
          <w:noProof/>
          <w:lang w:val="ro-RO"/>
        </w:rPr>
      </w:pPr>
    </w:p>
    <w:p w14:paraId="576B4326" w14:textId="77777777" w:rsidR="005827D2" w:rsidRDefault="005827D2" w:rsidP="00482716">
      <w:pPr>
        <w:rPr>
          <w:noProof/>
          <w:lang w:val="ro-RO"/>
        </w:rPr>
      </w:pPr>
      <w:r w:rsidRPr="005827D2">
        <w:rPr>
          <w:noProof/>
          <w:lang w:val="ro-RO"/>
        </w:rPr>
        <w:t>The analysis of the evolution of income and expenses recorded by SC DECONCAVA SRL during the period 2020–2023 highlights a relatively stable economic activity, characterized by progressive growth until 2022, followed by a slight decrease in 2023. Total income experienced a constant advance in the first three years, reaching a maximum of 1,853,293 lei in 2022, but decreased the following year to 1,641,786 lei, most likely as a result of reduced demand, external factors or changes in internal strategies.</w:t>
      </w:r>
    </w:p>
    <w:p w14:paraId="153A2FB1" w14:textId="77777777" w:rsidR="005827D2" w:rsidRDefault="005827D2" w:rsidP="00482716">
      <w:pPr>
        <w:rPr>
          <w:noProof/>
          <w:lang w:val="ro-RO"/>
        </w:rPr>
      </w:pPr>
      <w:r w:rsidRPr="005827D2">
        <w:rPr>
          <w:noProof/>
          <w:lang w:val="ro-RO"/>
        </w:rPr>
        <w:t>Total expenses followed a similar path, with a significant increase until 2022 and an adjustment in 2023. Merchandise expenses were the main operating cost, reflecting the company's commercial profile. They increased steadily throughout the period under review, from 905,325 lei in 2020 to 1,068,938 lei in 2023. Personnel expenses remained stable in the first three years, but decreased considerably in 2023, possibly as a result of efficiency or restructuring measures. At the same time, 2022 saw a peak in other operating expenses and adjustments to fixed assets, which may indicate significant investments or accounting revaluations.</w:t>
      </w:r>
    </w:p>
    <w:p w14:paraId="6CC7F4A6" w14:textId="0444690F" w:rsidR="00F97CF2" w:rsidRDefault="005827D2" w:rsidP="00482716">
      <w:pPr>
        <w:rPr>
          <w:noProof/>
          <w:lang w:val="ro-RO"/>
        </w:rPr>
      </w:pPr>
      <w:r w:rsidRPr="005827D2">
        <w:rPr>
          <w:noProof/>
          <w:lang w:val="ro-RO"/>
        </w:rPr>
        <w:t>Despite these variations, the company recorded gross profit in each year analyzed, which indicates good resource management and a capacity to adapt to market dynamics. This financial balance creates favorable premises for the consolidation and expansion of the activity in the future.</w:t>
      </w:r>
    </w:p>
    <w:p w14:paraId="5A2777DE" w14:textId="77777777" w:rsidR="005827D2" w:rsidRDefault="005827D2" w:rsidP="00482716">
      <w:pPr>
        <w:rPr>
          <w:noProof/>
          <w:lang w:val="ro-RO"/>
        </w:rPr>
      </w:pPr>
    </w:p>
    <w:p w14:paraId="2B4820C5" w14:textId="513E07C8" w:rsidR="00F97CF2" w:rsidRDefault="005827D2" w:rsidP="00482716">
      <w:pPr>
        <w:rPr>
          <w:noProof/>
          <w:lang w:val="ro-RO"/>
        </w:rPr>
      </w:pPr>
      <w:bookmarkStart w:id="1" w:name="_Hlk199277226"/>
      <w:r w:rsidRPr="005827D2">
        <w:rPr>
          <w:noProof/>
          <w:lang w:val="ro-RO"/>
        </w:rPr>
        <w:t>Tax rate applied:</w:t>
      </w:r>
    </w:p>
    <w:p w14:paraId="24D50A7F" w14:textId="77777777" w:rsidR="005827D2" w:rsidRPr="00482716" w:rsidRDefault="005827D2" w:rsidP="00482716">
      <w:pPr>
        <w:rPr>
          <w:noProof/>
          <w:lang w:val="ro-RO"/>
        </w:rPr>
      </w:pPr>
    </w:p>
    <w:bookmarkEnd w:id="1"/>
    <w:p w14:paraId="1247341E" w14:textId="7444ADEA" w:rsidR="00145116" w:rsidRDefault="005827D2" w:rsidP="005967B6">
      <w:pPr>
        <w:pStyle w:val="Legend"/>
        <w:spacing w:after="0"/>
        <w:jc w:val="center"/>
        <w:rPr>
          <w:noProof/>
          <w:lang w:val="ro-RO"/>
        </w:rPr>
      </w:pPr>
      <w:r w:rsidRPr="005827D2">
        <w:t>Table 2: Applicable quota for each year at SC DECONCAVA SRL</w:t>
      </w:r>
    </w:p>
    <w:tbl>
      <w:tblPr>
        <w:tblStyle w:val="Tabelgril"/>
        <w:tblW w:w="0" w:type="auto"/>
        <w:jc w:val="center"/>
        <w:tblLook w:val="04A0" w:firstRow="1" w:lastRow="0" w:firstColumn="1" w:lastColumn="0" w:noHBand="0" w:noVBand="1"/>
      </w:tblPr>
      <w:tblGrid>
        <w:gridCol w:w="2405"/>
        <w:gridCol w:w="1199"/>
        <w:gridCol w:w="1457"/>
        <w:gridCol w:w="1520"/>
        <w:gridCol w:w="1559"/>
      </w:tblGrid>
      <w:tr w:rsidR="00F97CF2" w:rsidRPr="00F97CF2" w14:paraId="1A20C726" w14:textId="77777777" w:rsidTr="00727358">
        <w:trPr>
          <w:trHeight w:val="39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3C3B4DB" w14:textId="77777777" w:rsidR="00F97CF2" w:rsidRPr="005967B6" w:rsidRDefault="00F97CF2">
            <w:pPr>
              <w:pStyle w:val="Listparagraf"/>
              <w:spacing w:before="0" w:after="0" w:line="240" w:lineRule="auto"/>
              <w:ind w:left="0"/>
              <w:jc w:val="both"/>
              <w:rPr>
                <w:rFonts w:ascii="Georgia Pro" w:hAnsi="Georgia Pro"/>
                <w:b/>
                <w:bCs/>
                <w:sz w:val="18"/>
                <w:szCs w:val="18"/>
              </w:rPr>
            </w:pPr>
            <w:r w:rsidRPr="005967B6">
              <w:rPr>
                <w:rFonts w:ascii="Georgia Pro" w:hAnsi="Georgia Pro"/>
                <w:b/>
                <w:bCs/>
                <w:sz w:val="18"/>
                <w:szCs w:val="18"/>
              </w:rPr>
              <w:t>Indicator</w:t>
            </w:r>
          </w:p>
        </w:tc>
        <w:tc>
          <w:tcPr>
            <w:tcW w:w="1199" w:type="dxa"/>
            <w:tcBorders>
              <w:top w:val="single" w:sz="4" w:space="0" w:color="auto"/>
              <w:left w:val="single" w:sz="4" w:space="0" w:color="auto"/>
              <w:bottom w:val="single" w:sz="4" w:space="0" w:color="auto"/>
              <w:right w:val="single" w:sz="4" w:space="0" w:color="auto"/>
            </w:tcBorders>
            <w:vAlign w:val="center"/>
            <w:hideMark/>
          </w:tcPr>
          <w:p w14:paraId="45FE1C36" w14:textId="77777777" w:rsidR="00F97CF2" w:rsidRPr="005967B6" w:rsidRDefault="00F97CF2">
            <w:pPr>
              <w:pStyle w:val="Listparagraf"/>
              <w:spacing w:before="0" w:after="0" w:line="240" w:lineRule="auto"/>
              <w:ind w:left="0"/>
              <w:rPr>
                <w:rFonts w:ascii="Georgia Pro" w:hAnsi="Georgia Pro"/>
                <w:b/>
                <w:bCs/>
                <w:sz w:val="18"/>
                <w:szCs w:val="18"/>
              </w:rPr>
            </w:pPr>
            <w:r w:rsidRPr="005967B6">
              <w:rPr>
                <w:rFonts w:ascii="Georgia Pro" w:hAnsi="Georgia Pro"/>
                <w:b/>
                <w:bCs/>
                <w:sz w:val="18"/>
                <w:szCs w:val="18"/>
              </w:rPr>
              <w:t>2020</w:t>
            </w:r>
          </w:p>
        </w:tc>
        <w:tc>
          <w:tcPr>
            <w:tcW w:w="1457" w:type="dxa"/>
            <w:tcBorders>
              <w:top w:val="single" w:sz="4" w:space="0" w:color="auto"/>
              <w:left w:val="single" w:sz="4" w:space="0" w:color="auto"/>
              <w:bottom w:val="single" w:sz="4" w:space="0" w:color="auto"/>
              <w:right w:val="single" w:sz="4" w:space="0" w:color="auto"/>
            </w:tcBorders>
            <w:vAlign w:val="center"/>
            <w:hideMark/>
          </w:tcPr>
          <w:p w14:paraId="408D179D" w14:textId="77777777" w:rsidR="00F97CF2" w:rsidRPr="005967B6" w:rsidRDefault="00F97CF2">
            <w:pPr>
              <w:pStyle w:val="Listparagraf"/>
              <w:spacing w:before="0" w:after="0" w:line="240" w:lineRule="auto"/>
              <w:ind w:left="0"/>
              <w:rPr>
                <w:rFonts w:ascii="Georgia Pro" w:hAnsi="Georgia Pro"/>
                <w:b/>
                <w:bCs/>
                <w:sz w:val="18"/>
                <w:szCs w:val="18"/>
              </w:rPr>
            </w:pPr>
            <w:r w:rsidRPr="005967B6">
              <w:rPr>
                <w:rFonts w:ascii="Georgia Pro" w:hAnsi="Georgia Pro"/>
                <w:b/>
                <w:bCs/>
                <w:sz w:val="18"/>
                <w:szCs w:val="18"/>
              </w:rPr>
              <w:t>2021</w:t>
            </w:r>
          </w:p>
        </w:tc>
        <w:tc>
          <w:tcPr>
            <w:tcW w:w="1520" w:type="dxa"/>
            <w:tcBorders>
              <w:top w:val="single" w:sz="4" w:space="0" w:color="auto"/>
              <w:left w:val="single" w:sz="4" w:space="0" w:color="auto"/>
              <w:bottom w:val="single" w:sz="4" w:space="0" w:color="auto"/>
              <w:right w:val="single" w:sz="4" w:space="0" w:color="auto"/>
            </w:tcBorders>
            <w:vAlign w:val="center"/>
            <w:hideMark/>
          </w:tcPr>
          <w:p w14:paraId="7FCFAD42" w14:textId="77777777" w:rsidR="00F97CF2" w:rsidRPr="005967B6" w:rsidRDefault="00F97CF2">
            <w:pPr>
              <w:pStyle w:val="Listparagraf"/>
              <w:spacing w:before="0" w:after="0" w:line="240" w:lineRule="auto"/>
              <w:ind w:left="0"/>
              <w:rPr>
                <w:rFonts w:ascii="Georgia Pro" w:hAnsi="Georgia Pro"/>
                <w:b/>
                <w:bCs/>
                <w:sz w:val="18"/>
                <w:szCs w:val="18"/>
              </w:rPr>
            </w:pPr>
            <w:r w:rsidRPr="005967B6">
              <w:rPr>
                <w:rFonts w:ascii="Georgia Pro" w:hAnsi="Georgia Pro"/>
                <w:b/>
                <w:bCs/>
                <w:sz w:val="18"/>
                <w:szCs w:val="18"/>
              </w:rPr>
              <w:t>2022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36CB44" w14:textId="77777777" w:rsidR="00F97CF2" w:rsidRPr="005967B6" w:rsidRDefault="00F97CF2">
            <w:pPr>
              <w:pStyle w:val="Listparagraf"/>
              <w:spacing w:before="0" w:after="0" w:line="240" w:lineRule="auto"/>
              <w:ind w:left="0"/>
              <w:rPr>
                <w:rFonts w:ascii="Georgia Pro" w:hAnsi="Georgia Pro"/>
                <w:b/>
                <w:bCs/>
                <w:sz w:val="18"/>
                <w:szCs w:val="18"/>
              </w:rPr>
            </w:pPr>
            <w:r w:rsidRPr="005967B6">
              <w:rPr>
                <w:rFonts w:ascii="Georgia Pro" w:hAnsi="Georgia Pro"/>
                <w:b/>
                <w:bCs/>
                <w:sz w:val="18"/>
                <w:szCs w:val="18"/>
              </w:rPr>
              <w:t>2023</w:t>
            </w:r>
          </w:p>
        </w:tc>
      </w:tr>
      <w:tr w:rsidR="00F97CF2" w:rsidRPr="00F97CF2" w14:paraId="76B2F214" w14:textId="77777777" w:rsidTr="00727358">
        <w:trPr>
          <w:trHeight w:val="35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684AF4E" w14:textId="66844636" w:rsidR="00F97CF2" w:rsidRPr="00C32E76" w:rsidRDefault="005827D2">
            <w:pPr>
              <w:pStyle w:val="Listparagraf"/>
              <w:spacing w:before="0" w:after="0" w:line="240" w:lineRule="auto"/>
              <w:ind w:left="0"/>
              <w:jc w:val="both"/>
              <w:rPr>
                <w:rFonts w:ascii="Georgia Pro" w:hAnsi="Georgia Pro"/>
                <w:sz w:val="18"/>
                <w:szCs w:val="18"/>
                <w:lang w:val="en-US"/>
              </w:rPr>
            </w:pPr>
            <w:r w:rsidRPr="00C32E76">
              <w:rPr>
                <w:rFonts w:ascii="Georgia Pro" w:hAnsi="Georgia Pro"/>
                <w:sz w:val="18"/>
                <w:szCs w:val="18"/>
                <w:lang w:val="en-US"/>
              </w:rPr>
              <w:t>Total number of employees</w:t>
            </w:r>
          </w:p>
        </w:tc>
        <w:tc>
          <w:tcPr>
            <w:tcW w:w="1199" w:type="dxa"/>
            <w:tcBorders>
              <w:top w:val="single" w:sz="4" w:space="0" w:color="auto"/>
              <w:left w:val="single" w:sz="4" w:space="0" w:color="auto"/>
              <w:bottom w:val="single" w:sz="4" w:space="0" w:color="auto"/>
              <w:right w:val="single" w:sz="4" w:space="0" w:color="auto"/>
            </w:tcBorders>
            <w:vAlign w:val="center"/>
            <w:hideMark/>
          </w:tcPr>
          <w:p w14:paraId="5B462D82" w14:textId="77777777" w:rsidR="00F97CF2" w:rsidRPr="005967B6" w:rsidRDefault="00F97CF2">
            <w:pPr>
              <w:pStyle w:val="Listparagraf"/>
              <w:spacing w:before="0" w:after="0" w:line="240" w:lineRule="auto"/>
              <w:ind w:left="0"/>
              <w:rPr>
                <w:rFonts w:ascii="Georgia Pro" w:hAnsi="Georgia Pro"/>
                <w:sz w:val="18"/>
                <w:szCs w:val="18"/>
              </w:rPr>
            </w:pPr>
            <w:r w:rsidRPr="005967B6">
              <w:rPr>
                <w:rFonts w:ascii="Georgia Pro" w:hAnsi="Georgia Pro"/>
                <w:sz w:val="18"/>
                <w:szCs w:val="18"/>
              </w:rPr>
              <w:t>10</w:t>
            </w:r>
          </w:p>
        </w:tc>
        <w:tc>
          <w:tcPr>
            <w:tcW w:w="1457" w:type="dxa"/>
            <w:tcBorders>
              <w:top w:val="single" w:sz="4" w:space="0" w:color="auto"/>
              <w:left w:val="single" w:sz="4" w:space="0" w:color="auto"/>
              <w:bottom w:val="single" w:sz="4" w:space="0" w:color="auto"/>
              <w:right w:val="single" w:sz="4" w:space="0" w:color="auto"/>
            </w:tcBorders>
            <w:vAlign w:val="center"/>
            <w:hideMark/>
          </w:tcPr>
          <w:p w14:paraId="2E4CBCE7" w14:textId="77777777" w:rsidR="00F97CF2" w:rsidRPr="005967B6" w:rsidRDefault="00F97CF2">
            <w:pPr>
              <w:pStyle w:val="Listparagraf"/>
              <w:spacing w:before="0" w:after="0" w:line="240" w:lineRule="auto"/>
              <w:ind w:left="0"/>
              <w:rPr>
                <w:rFonts w:ascii="Georgia Pro" w:hAnsi="Georgia Pro"/>
                <w:sz w:val="18"/>
                <w:szCs w:val="18"/>
              </w:rPr>
            </w:pPr>
            <w:r w:rsidRPr="005967B6">
              <w:rPr>
                <w:rFonts w:ascii="Georgia Pro" w:hAnsi="Georgia Pro"/>
                <w:sz w:val="18"/>
                <w:szCs w:val="18"/>
              </w:rPr>
              <w:t>10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50F7BA3E" w14:textId="77777777" w:rsidR="00F97CF2" w:rsidRPr="005967B6" w:rsidRDefault="00F97CF2">
            <w:pPr>
              <w:pStyle w:val="Listparagraf"/>
              <w:spacing w:before="0" w:after="0" w:line="240" w:lineRule="auto"/>
              <w:ind w:left="0"/>
              <w:rPr>
                <w:rFonts w:ascii="Georgia Pro" w:hAnsi="Georgia Pro"/>
                <w:sz w:val="18"/>
                <w:szCs w:val="18"/>
              </w:rPr>
            </w:pPr>
            <w:r w:rsidRPr="005967B6">
              <w:rPr>
                <w:rFonts w:ascii="Georgia Pro" w:hAnsi="Georgia Pro"/>
                <w:sz w:val="18"/>
                <w:szCs w:val="18"/>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B0AB93" w14:textId="77777777" w:rsidR="00F97CF2" w:rsidRPr="005967B6" w:rsidRDefault="00F97CF2">
            <w:pPr>
              <w:pStyle w:val="Listparagraf"/>
              <w:spacing w:before="0" w:after="0" w:line="240" w:lineRule="auto"/>
              <w:ind w:left="0"/>
              <w:rPr>
                <w:rFonts w:ascii="Georgia Pro" w:hAnsi="Georgia Pro"/>
                <w:sz w:val="18"/>
                <w:szCs w:val="18"/>
              </w:rPr>
            </w:pPr>
            <w:r w:rsidRPr="005967B6">
              <w:rPr>
                <w:rFonts w:ascii="Georgia Pro" w:hAnsi="Georgia Pro"/>
                <w:sz w:val="18"/>
                <w:szCs w:val="18"/>
              </w:rPr>
              <w:t>5</w:t>
            </w:r>
          </w:p>
        </w:tc>
      </w:tr>
      <w:tr w:rsidR="00F97CF2" w:rsidRPr="00F97CF2" w14:paraId="6405687A" w14:textId="77777777" w:rsidTr="00727358">
        <w:trPr>
          <w:trHeight w:val="343"/>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9FDD4A3" w14:textId="2E1B9930" w:rsidR="00F97CF2" w:rsidRPr="00C32E76" w:rsidRDefault="005827D2">
            <w:pPr>
              <w:pStyle w:val="Listparagraf"/>
              <w:spacing w:before="0" w:after="0" w:line="240" w:lineRule="auto"/>
              <w:ind w:left="0"/>
              <w:jc w:val="both"/>
              <w:rPr>
                <w:rFonts w:ascii="Georgia Pro" w:hAnsi="Georgia Pro"/>
                <w:sz w:val="18"/>
                <w:szCs w:val="18"/>
                <w:lang w:val="en-US"/>
              </w:rPr>
            </w:pPr>
            <w:r w:rsidRPr="00C32E76">
              <w:rPr>
                <w:rFonts w:ascii="Georgia Pro" w:hAnsi="Georgia Pro"/>
                <w:sz w:val="18"/>
                <w:szCs w:val="18"/>
                <w:lang w:val="en-US"/>
              </w:rPr>
              <w:t>Applicable quota</w:t>
            </w:r>
          </w:p>
        </w:tc>
        <w:tc>
          <w:tcPr>
            <w:tcW w:w="1199" w:type="dxa"/>
            <w:tcBorders>
              <w:top w:val="single" w:sz="4" w:space="0" w:color="auto"/>
              <w:left w:val="single" w:sz="4" w:space="0" w:color="auto"/>
              <w:bottom w:val="single" w:sz="4" w:space="0" w:color="auto"/>
              <w:right w:val="single" w:sz="4" w:space="0" w:color="auto"/>
            </w:tcBorders>
            <w:vAlign w:val="center"/>
            <w:hideMark/>
          </w:tcPr>
          <w:p w14:paraId="29D3564B" w14:textId="77777777" w:rsidR="00F97CF2" w:rsidRPr="005967B6" w:rsidRDefault="00F97CF2">
            <w:pPr>
              <w:pStyle w:val="Listparagraf"/>
              <w:spacing w:before="0" w:after="0" w:line="240" w:lineRule="auto"/>
              <w:ind w:left="0"/>
              <w:rPr>
                <w:rFonts w:ascii="Georgia Pro" w:hAnsi="Georgia Pro"/>
                <w:sz w:val="18"/>
                <w:szCs w:val="18"/>
              </w:rPr>
            </w:pPr>
            <w:r w:rsidRPr="005967B6">
              <w:rPr>
                <w:rFonts w:ascii="Georgia Pro" w:hAnsi="Georgia Pro"/>
                <w:sz w:val="18"/>
                <w:szCs w:val="18"/>
              </w:rPr>
              <w:t>1%</w:t>
            </w:r>
          </w:p>
        </w:tc>
        <w:tc>
          <w:tcPr>
            <w:tcW w:w="1457" w:type="dxa"/>
            <w:tcBorders>
              <w:top w:val="single" w:sz="4" w:space="0" w:color="auto"/>
              <w:left w:val="single" w:sz="4" w:space="0" w:color="auto"/>
              <w:bottom w:val="single" w:sz="4" w:space="0" w:color="auto"/>
              <w:right w:val="single" w:sz="4" w:space="0" w:color="auto"/>
            </w:tcBorders>
            <w:vAlign w:val="center"/>
            <w:hideMark/>
          </w:tcPr>
          <w:p w14:paraId="2BA2565C" w14:textId="77777777" w:rsidR="00F97CF2" w:rsidRPr="005967B6" w:rsidRDefault="00F97CF2">
            <w:pPr>
              <w:pStyle w:val="Listparagraf"/>
              <w:spacing w:before="0" w:after="0" w:line="240" w:lineRule="auto"/>
              <w:ind w:left="0"/>
              <w:rPr>
                <w:rFonts w:ascii="Georgia Pro" w:hAnsi="Georgia Pro"/>
                <w:sz w:val="18"/>
                <w:szCs w:val="18"/>
              </w:rPr>
            </w:pPr>
            <w:r w:rsidRPr="005967B6">
              <w:rPr>
                <w:rFonts w:ascii="Georgia Pro" w:hAnsi="Georgia Pro"/>
                <w:sz w:val="18"/>
                <w:szCs w:val="18"/>
              </w:rPr>
              <w:t>1%</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DD7DC78" w14:textId="77777777" w:rsidR="00F97CF2" w:rsidRPr="005967B6" w:rsidRDefault="00F97CF2">
            <w:pPr>
              <w:pStyle w:val="Listparagraf"/>
              <w:spacing w:before="0" w:after="0" w:line="240" w:lineRule="auto"/>
              <w:ind w:left="0"/>
              <w:rPr>
                <w:rFonts w:ascii="Georgia Pro" w:hAnsi="Georgia Pro"/>
                <w:sz w:val="18"/>
                <w:szCs w:val="18"/>
              </w:rPr>
            </w:pPr>
            <w:r w:rsidRPr="005967B6">
              <w:rPr>
                <w:rFonts w:ascii="Georgia Pro" w:hAnsi="Georgia Pro"/>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31A14A" w14:textId="77777777" w:rsidR="00F97CF2" w:rsidRPr="005967B6" w:rsidRDefault="00F97CF2">
            <w:pPr>
              <w:pStyle w:val="Listparagraf"/>
              <w:spacing w:before="0" w:after="0" w:line="240" w:lineRule="auto"/>
              <w:ind w:left="0"/>
              <w:rPr>
                <w:rFonts w:ascii="Georgia Pro" w:hAnsi="Georgia Pro"/>
                <w:sz w:val="18"/>
                <w:szCs w:val="18"/>
              </w:rPr>
            </w:pPr>
            <w:r w:rsidRPr="005967B6">
              <w:rPr>
                <w:rFonts w:ascii="Georgia Pro" w:hAnsi="Georgia Pro"/>
                <w:sz w:val="18"/>
                <w:szCs w:val="18"/>
              </w:rPr>
              <w:t>1%</w:t>
            </w:r>
          </w:p>
        </w:tc>
      </w:tr>
    </w:tbl>
    <w:p w14:paraId="168D43D2" w14:textId="71E6825F" w:rsidR="00F97CF2" w:rsidRDefault="00F97CF2" w:rsidP="00F97CF2">
      <w:pPr>
        <w:ind w:firstLine="0"/>
        <w:jc w:val="center"/>
        <w:rPr>
          <w:i/>
          <w:iCs/>
          <w:noProof/>
          <w:color w:val="44546A" w:themeColor="text2"/>
          <w:sz w:val="18"/>
          <w:szCs w:val="18"/>
        </w:rPr>
      </w:pPr>
      <w:bookmarkStart w:id="2" w:name="_Hlk199786642"/>
      <w:r w:rsidRPr="00F97CF2">
        <w:rPr>
          <w:i/>
          <w:iCs/>
          <w:noProof/>
          <w:color w:val="44546A" w:themeColor="text2"/>
          <w:sz w:val="18"/>
          <w:szCs w:val="18"/>
        </w:rPr>
        <w:t>S</w:t>
      </w:r>
      <w:r w:rsidR="005827D2">
        <w:rPr>
          <w:i/>
          <w:iCs/>
          <w:noProof/>
          <w:color w:val="44546A" w:themeColor="text2"/>
          <w:sz w:val="18"/>
          <w:szCs w:val="18"/>
        </w:rPr>
        <w:t>ource</w:t>
      </w:r>
      <w:r w:rsidRPr="005827D2">
        <w:rPr>
          <w:noProof/>
          <w:color w:val="44546A" w:themeColor="text2"/>
          <w:sz w:val="18"/>
          <w:szCs w:val="18"/>
        </w:rPr>
        <w:t xml:space="preserve">: </w:t>
      </w:r>
      <w:r w:rsidR="005827D2" w:rsidRPr="005827D2">
        <w:rPr>
          <w:noProof/>
          <w:color w:val="44546A" w:themeColor="text2"/>
          <w:sz w:val="18"/>
          <w:szCs w:val="18"/>
        </w:rPr>
        <w:t>own processing</w:t>
      </w:r>
    </w:p>
    <w:bookmarkEnd w:id="2"/>
    <w:p w14:paraId="01BD605B" w14:textId="77777777" w:rsidR="00F97CF2" w:rsidRDefault="00F97CF2" w:rsidP="00F97CF2">
      <w:pPr>
        <w:ind w:firstLine="0"/>
        <w:jc w:val="center"/>
        <w:rPr>
          <w:i/>
          <w:iCs/>
          <w:noProof/>
          <w:color w:val="44546A" w:themeColor="text2"/>
          <w:sz w:val="18"/>
          <w:szCs w:val="18"/>
        </w:rPr>
      </w:pPr>
    </w:p>
    <w:p w14:paraId="2954BF77" w14:textId="77777777" w:rsidR="00F97CF2" w:rsidRDefault="00F97CF2" w:rsidP="00F97CF2">
      <w:pPr>
        <w:ind w:firstLine="0"/>
        <w:jc w:val="center"/>
        <w:rPr>
          <w:i/>
          <w:iCs/>
          <w:noProof/>
          <w:color w:val="44546A" w:themeColor="text2"/>
          <w:sz w:val="18"/>
          <w:szCs w:val="18"/>
        </w:rPr>
      </w:pPr>
    </w:p>
    <w:p w14:paraId="04696001" w14:textId="77777777" w:rsidR="00F97CF2" w:rsidRDefault="00F97CF2" w:rsidP="00F97CF2">
      <w:pPr>
        <w:ind w:firstLine="0"/>
        <w:jc w:val="center"/>
        <w:rPr>
          <w:i/>
          <w:iCs/>
          <w:noProof/>
          <w:color w:val="44546A" w:themeColor="text2"/>
          <w:sz w:val="18"/>
          <w:szCs w:val="18"/>
        </w:rPr>
      </w:pPr>
    </w:p>
    <w:p w14:paraId="3BA707E3" w14:textId="1CBEC1A7" w:rsidR="00F97CF2" w:rsidRDefault="005827D2" w:rsidP="00F97CF2">
      <w:pPr>
        <w:rPr>
          <w:noProof/>
        </w:rPr>
      </w:pPr>
      <w:r w:rsidRPr="005827D2">
        <w:rPr>
          <w:noProof/>
        </w:rPr>
        <w:t>During the period 2020–2023, the company benefited from the application of a fixed tax rate of 1% on income, as it met the legal criteria necessary to be included in the micro-enterprise tax regime, according to the provisions in force</w:t>
      </w:r>
      <w:r w:rsidR="005967B6">
        <w:rPr>
          <w:noProof/>
        </w:rPr>
        <w:t>.</w:t>
      </w:r>
    </w:p>
    <w:p w14:paraId="1DA9B7AC" w14:textId="77777777" w:rsidR="00427A09" w:rsidRDefault="00427A09" w:rsidP="00F97CF2">
      <w:pPr>
        <w:rPr>
          <w:noProof/>
        </w:rPr>
      </w:pPr>
    </w:p>
    <w:p w14:paraId="4F3D48B0" w14:textId="77777777" w:rsidR="00F97CF2" w:rsidRDefault="00F97CF2" w:rsidP="00DD2421">
      <w:pPr>
        <w:ind w:firstLine="0"/>
        <w:rPr>
          <w:i/>
          <w:iCs/>
          <w:noProof/>
          <w:color w:val="44546A" w:themeColor="text2"/>
          <w:sz w:val="18"/>
          <w:szCs w:val="18"/>
        </w:rPr>
      </w:pPr>
    </w:p>
    <w:p w14:paraId="7A5C277C" w14:textId="73DF6CD2" w:rsidR="00F97CF2" w:rsidRDefault="005827D2" w:rsidP="005967B6">
      <w:pPr>
        <w:ind w:firstLine="0"/>
        <w:rPr>
          <w:noProof/>
        </w:rPr>
      </w:pPr>
      <w:r w:rsidRPr="005827D2">
        <w:rPr>
          <w:noProof/>
        </w:rPr>
        <w:lastRenderedPageBreak/>
        <w:t>Quarterly tax calculation</w:t>
      </w:r>
      <w:r w:rsidR="005967B6">
        <w:rPr>
          <w:noProof/>
        </w:rPr>
        <w:t>:</w:t>
      </w:r>
    </w:p>
    <w:p w14:paraId="423A8A4D" w14:textId="77777777" w:rsidR="005967B6" w:rsidRPr="005967B6" w:rsidRDefault="005967B6" w:rsidP="005967B6">
      <w:pPr>
        <w:ind w:firstLine="0"/>
        <w:rPr>
          <w:noProof/>
        </w:rPr>
      </w:pPr>
    </w:p>
    <w:p w14:paraId="58D63460" w14:textId="471F1E32" w:rsidR="00F97CF2" w:rsidRDefault="005827D2" w:rsidP="005967B6">
      <w:pPr>
        <w:pStyle w:val="Legend"/>
        <w:spacing w:after="0"/>
        <w:jc w:val="center"/>
        <w:rPr>
          <w:i w:val="0"/>
          <w:iCs w:val="0"/>
          <w:noProof/>
        </w:rPr>
      </w:pPr>
      <w:r w:rsidRPr="005827D2">
        <w:t>Table 3: Quarterly tax for 2022 at SC DECONCAVA SRL</w:t>
      </w:r>
    </w:p>
    <w:tbl>
      <w:tblPr>
        <w:tblStyle w:val="Tabelgril"/>
        <w:tblW w:w="8897" w:type="dxa"/>
        <w:jc w:val="center"/>
        <w:tblLook w:val="04A0" w:firstRow="1" w:lastRow="0" w:firstColumn="1" w:lastColumn="0" w:noHBand="0" w:noVBand="1"/>
      </w:tblPr>
      <w:tblGrid>
        <w:gridCol w:w="1696"/>
        <w:gridCol w:w="1418"/>
        <w:gridCol w:w="1397"/>
        <w:gridCol w:w="1476"/>
        <w:gridCol w:w="1448"/>
        <w:gridCol w:w="1462"/>
      </w:tblGrid>
      <w:tr w:rsidR="005967B6" w:rsidRPr="005967B6" w14:paraId="107E76B7" w14:textId="77777777" w:rsidTr="005967B6">
        <w:trPr>
          <w:trHeight w:val="47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0D9DF301" w14:textId="6374810E" w:rsidR="005967B6" w:rsidRPr="005967B6" w:rsidRDefault="005827D2" w:rsidP="005967B6">
            <w:pPr>
              <w:ind w:firstLine="0"/>
              <w:jc w:val="center"/>
              <w:rPr>
                <w:b/>
                <w:bCs/>
                <w:noProof/>
                <w:color w:val="000000" w:themeColor="text1"/>
                <w:sz w:val="18"/>
                <w:szCs w:val="18"/>
                <w:lang w:val="ro-RO"/>
              </w:rPr>
            </w:pPr>
            <w:r>
              <w:rPr>
                <w:b/>
                <w:bCs/>
                <w:noProof/>
                <w:color w:val="000000" w:themeColor="text1"/>
                <w:sz w:val="18"/>
                <w:szCs w:val="18"/>
                <w:lang w:val="ro-RO"/>
              </w:rPr>
              <w:t>Quarter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802F99" w14:textId="0480CE6C" w:rsidR="005967B6" w:rsidRPr="005967B6" w:rsidRDefault="00DD2421" w:rsidP="005967B6">
            <w:pPr>
              <w:ind w:firstLine="0"/>
              <w:jc w:val="center"/>
              <w:rPr>
                <w:b/>
                <w:bCs/>
                <w:noProof/>
                <w:color w:val="000000" w:themeColor="text1"/>
                <w:sz w:val="18"/>
                <w:szCs w:val="18"/>
                <w:lang w:val="ro-RO"/>
              </w:rPr>
            </w:pPr>
            <w:r>
              <w:rPr>
                <w:b/>
                <w:bCs/>
                <w:noProof/>
                <w:color w:val="000000" w:themeColor="text1"/>
                <w:sz w:val="18"/>
                <w:szCs w:val="18"/>
                <w:lang w:val="ro-RO"/>
              </w:rPr>
              <w:t>Income</w:t>
            </w:r>
            <w:r w:rsidR="005967B6" w:rsidRPr="005967B6">
              <w:rPr>
                <w:b/>
                <w:bCs/>
                <w:noProof/>
                <w:color w:val="000000" w:themeColor="text1"/>
                <w:sz w:val="18"/>
                <w:szCs w:val="18"/>
                <w:lang w:val="ro-RO"/>
              </w:rPr>
              <w:t xml:space="preserve"> (</w:t>
            </w:r>
            <w:r w:rsidR="005827D2">
              <w:rPr>
                <w:b/>
                <w:bCs/>
                <w:noProof/>
                <w:color w:val="000000" w:themeColor="text1"/>
                <w:sz w:val="18"/>
                <w:szCs w:val="18"/>
                <w:lang w:val="ro-RO"/>
              </w:rPr>
              <w:t>RON</w:t>
            </w:r>
            <w:r w:rsidR="005967B6" w:rsidRPr="005967B6">
              <w:rPr>
                <w:b/>
                <w:bCs/>
                <w:noProof/>
                <w:color w:val="000000" w:themeColor="text1"/>
                <w:sz w:val="18"/>
                <w:szCs w:val="18"/>
                <w:lang w:val="ro-RO"/>
              </w:rPr>
              <w:t>)</w:t>
            </w:r>
          </w:p>
        </w:tc>
        <w:tc>
          <w:tcPr>
            <w:tcW w:w="1397" w:type="dxa"/>
            <w:tcBorders>
              <w:top w:val="single" w:sz="4" w:space="0" w:color="auto"/>
              <w:left w:val="single" w:sz="4" w:space="0" w:color="auto"/>
              <w:bottom w:val="single" w:sz="4" w:space="0" w:color="auto"/>
              <w:right w:val="single" w:sz="4" w:space="0" w:color="auto"/>
            </w:tcBorders>
            <w:vAlign w:val="center"/>
            <w:hideMark/>
          </w:tcPr>
          <w:p w14:paraId="73AEF04C" w14:textId="105AC84E" w:rsidR="005967B6" w:rsidRPr="005967B6" w:rsidRDefault="00DD2421" w:rsidP="005967B6">
            <w:pPr>
              <w:ind w:firstLine="0"/>
              <w:jc w:val="center"/>
              <w:rPr>
                <w:b/>
                <w:bCs/>
                <w:noProof/>
                <w:color w:val="000000" w:themeColor="text1"/>
                <w:sz w:val="18"/>
                <w:szCs w:val="18"/>
                <w:lang w:val="ro-RO"/>
              </w:rPr>
            </w:pPr>
            <w:r>
              <w:rPr>
                <w:b/>
                <w:bCs/>
                <w:noProof/>
                <w:color w:val="000000" w:themeColor="text1"/>
                <w:sz w:val="18"/>
                <w:szCs w:val="18"/>
                <w:lang w:val="ro-RO"/>
              </w:rPr>
              <w:t>Non-taxable income</w:t>
            </w:r>
            <w:r w:rsidR="005967B6" w:rsidRPr="005967B6">
              <w:rPr>
                <w:b/>
                <w:bCs/>
                <w:noProof/>
                <w:color w:val="000000" w:themeColor="text1"/>
                <w:sz w:val="18"/>
                <w:szCs w:val="18"/>
                <w:lang w:val="ro-RO"/>
              </w:rPr>
              <w:t xml:space="preserve"> (</w:t>
            </w:r>
            <w:r w:rsidR="005827D2">
              <w:rPr>
                <w:b/>
                <w:bCs/>
                <w:noProof/>
                <w:color w:val="000000" w:themeColor="text1"/>
                <w:sz w:val="18"/>
                <w:szCs w:val="18"/>
                <w:lang w:val="ro-RO"/>
              </w:rPr>
              <w:t>RON</w:t>
            </w:r>
            <w:r w:rsidR="005967B6" w:rsidRPr="005967B6">
              <w:rPr>
                <w:b/>
                <w:bCs/>
                <w:noProof/>
                <w:color w:val="000000" w:themeColor="text1"/>
                <w:sz w:val="18"/>
                <w:szCs w:val="18"/>
                <w:lang w:val="ro-RO"/>
              </w:rPr>
              <w:t>)</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9458D38" w14:textId="4032645F" w:rsidR="005967B6" w:rsidRPr="005967B6" w:rsidRDefault="00DD2421" w:rsidP="005967B6">
            <w:pPr>
              <w:ind w:firstLine="0"/>
              <w:jc w:val="center"/>
              <w:rPr>
                <w:b/>
                <w:bCs/>
                <w:noProof/>
                <w:color w:val="000000" w:themeColor="text1"/>
                <w:sz w:val="18"/>
                <w:szCs w:val="18"/>
                <w:lang w:val="ro-RO"/>
              </w:rPr>
            </w:pPr>
            <w:r>
              <w:rPr>
                <w:b/>
                <w:bCs/>
                <w:noProof/>
                <w:color w:val="000000" w:themeColor="text1"/>
                <w:sz w:val="18"/>
                <w:szCs w:val="18"/>
                <w:lang w:val="ro-RO"/>
              </w:rPr>
              <w:t>Taxable income</w:t>
            </w:r>
            <w:r w:rsidR="005967B6" w:rsidRPr="005967B6">
              <w:rPr>
                <w:b/>
                <w:bCs/>
                <w:noProof/>
                <w:color w:val="000000" w:themeColor="text1"/>
                <w:sz w:val="18"/>
                <w:szCs w:val="18"/>
                <w:lang w:val="ro-RO"/>
              </w:rPr>
              <w:t xml:space="preserve"> (</w:t>
            </w:r>
            <w:r w:rsidR="005827D2">
              <w:rPr>
                <w:b/>
                <w:bCs/>
                <w:noProof/>
                <w:color w:val="000000" w:themeColor="text1"/>
                <w:sz w:val="18"/>
                <w:szCs w:val="18"/>
                <w:lang w:val="ro-RO"/>
              </w:rPr>
              <w:t>RON</w:t>
            </w:r>
            <w:r w:rsidR="005967B6" w:rsidRPr="005967B6">
              <w:rPr>
                <w:b/>
                <w:bCs/>
                <w:noProof/>
                <w:color w:val="000000" w:themeColor="text1"/>
                <w:sz w:val="18"/>
                <w:szCs w:val="18"/>
                <w:lang w:val="ro-RO"/>
              </w:rPr>
              <w:t>)</w:t>
            </w:r>
          </w:p>
        </w:tc>
        <w:tc>
          <w:tcPr>
            <w:tcW w:w="1448" w:type="dxa"/>
            <w:tcBorders>
              <w:top w:val="single" w:sz="4" w:space="0" w:color="auto"/>
              <w:left w:val="single" w:sz="4" w:space="0" w:color="auto"/>
              <w:bottom w:val="single" w:sz="4" w:space="0" w:color="auto"/>
              <w:right w:val="single" w:sz="4" w:space="0" w:color="auto"/>
            </w:tcBorders>
            <w:vAlign w:val="center"/>
            <w:hideMark/>
          </w:tcPr>
          <w:p w14:paraId="1C476FB1" w14:textId="248D032C" w:rsidR="005967B6" w:rsidRPr="005967B6" w:rsidRDefault="00DD2421" w:rsidP="005967B6">
            <w:pPr>
              <w:ind w:firstLine="0"/>
              <w:jc w:val="center"/>
              <w:rPr>
                <w:b/>
                <w:bCs/>
                <w:noProof/>
                <w:color w:val="000000" w:themeColor="text1"/>
                <w:sz w:val="18"/>
                <w:szCs w:val="18"/>
                <w:lang w:val="ro-RO"/>
              </w:rPr>
            </w:pPr>
            <w:r>
              <w:rPr>
                <w:b/>
                <w:bCs/>
                <w:noProof/>
                <w:color w:val="000000" w:themeColor="text1"/>
                <w:sz w:val="18"/>
                <w:szCs w:val="18"/>
                <w:lang w:val="ro-RO"/>
              </w:rPr>
              <w:t>Rate</w:t>
            </w:r>
            <w:r w:rsidR="005967B6" w:rsidRPr="005967B6">
              <w:rPr>
                <w:b/>
                <w:bCs/>
                <w:noProof/>
                <w:color w:val="000000" w:themeColor="text1"/>
                <w:sz w:val="18"/>
                <w:szCs w:val="18"/>
                <w:lang w:val="ro-RO"/>
              </w:rPr>
              <w:t xml:space="preserve"> (%)</w:t>
            </w:r>
          </w:p>
        </w:tc>
        <w:tc>
          <w:tcPr>
            <w:tcW w:w="1462" w:type="dxa"/>
            <w:tcBorders>
              <w:top w:val="single" w:sz="4" w:space="0" w:color="auto"/>
              <w:left w:val="single" w:sz="4" w:space="0" w:color="auto"/>
              <w:bottom w:val="single" w:sz="4" w:space="0" w:color="auto"/>
              <w:right w:val="single" w:sz="4" w:space="0" w:color="auto"/>
            </w:tcBorders>
            <w:vAlign w:val="center"/>
            <w:hideMark/>
          </w:tcPr>
          <w:p w14:paraId="7B94A4AD" w14:textId="3E6EB27A" w:rsidR="005967B6" w:rsidRPr="005967B6" w:rsidRDefault="00DD2421" w:rsidP="005967B6">
            <w:pPr>
              <w:ind w:firstLine="0"/>
              <w:jc w:val="center"/>
              <w:rPr>
                <w:b/>
                <w:bCs/>
                <w:noProof/>
                <w:color w:val="000000" w:themeColor="text1"/>
                <w:sz w:val="18"/>
                <w:szCs w:val="18"/>
                <w:lang w:val="ro-RO"/>
              </w:rPr>
            </w:pPr>
            <w:r>
              <w:rPr>
                <w:b/>
                <w:bCs/>
                <w:noProof/>
                <w:color w:val="000000" w:themeColor="text1"/>
                <w:sz w:val="18"/>
                <w:szCs w:val="18"/>
                <w:lang w:val="ro-RO"/>
              </w:rPr>
              <w:t>Tax</w:t>
            </w:r>
            <w:r w:rsidR="005967B6" w:rsidRPr="005967B6">
              <w:rPr>
                <w:b/>
                <w:bCs/>
                <w:noProof/>
                <w:color w:val="000000" w:themeColor="text1"/>
                <w:sz w:val="18"/>
                <w:szCs w:val="18"/>
                <w:lang w:val="ro-RO"/>
              </w:rPr>
              <w:t xml:space="preserve"> (</w:t>
            </w:r>
            <w:r w:rsidR="005827D2">
              <w:rPr>
                <w:b/>
                <w:bCs/>
                <w:noProof/>
                <w:color w:val="000000" w:themeColor="text1"/>
                <w:sz w:val="18"/>
                <w:szCs w:val="18"/>
                <w:lang w:val="ro-RO"/>
              </w:rPr>
              <w:t>RON</w:t>
            </w:r>
            <w:r w:rsidR="005967B6" w:rsidRPr="005967B6">
              <w:rPr>
                <w:b/>
                <w:bCs/>
                <w:noProof/>
                <w:color w:val="000000" w:themeColor="text1"/>
                <w:sz w:val="18"/>
                <w:szCs w:val="18"/>
                <w:lang w:val="ro-RO"/>
              </w:rPr>
              <w:t>)</w:t>
            </w:r>
          </w:p>
        </w:tc>
      </w:tr>
      <w:tr w:rsidR="005967B6" w:rsidRPr="005967B6" w14:paraId="5E454F3D" w14:textId="77777777" w:rsidTr="005967B6">
        <w:trPr>
          <w:trHeight w:val="45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E9CF351" w14:textId="5480428C" w:rsidR="005967B6" w:rsidRPr="005967B6" w:rsidRDefault="005827D2" w:rsidP="005967B6">
            <w:pPr>
              <w:ind w:firstLine="0"/>
              <w:jc w:val="center"/>
              <w:rPr>
                <w:noProof/>
                <w:color w:val="000000" w:themeColor="text1"/>
                <w:sz w:val="18"/>
                <w:szCs w:val="18"/>
                <w:lang w:val="ro-RO"/>
              </w:rPr>
            </w:pPr>
            <w:r>
              <w:rPr>
                <w:noProof/>
                <w:color w:val="000000" w:themeColor="text1"/>
                <w:sz w:val="18"/>
                <w:szCs w:val="18"/>
                <w:lang w:val="ro-RO"/>
              </w:rPr>
              <w:t>Quarter</w:t>
            </w:r>
            <w:r w:rsidR="005967B6" w:rsidRPr="005967B6">
              <w:rPr>
                <w:noProof/>
                <w:color w:val="000000" w:themeColor="text1"/>
                <w:sz w:val="18"/>
                <w:szCs w:val="18"/>
                <w:lang w:val="ro-RO"/>
              </w:rPr>
              <w:t xml:space="preserve"> 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2F440A"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331.848</w:t>
            </w:r>
          </w:p>
        </w:tc>
        <w:tc>
          <w:tcPr>
            <w:tcW w:w="1397" w:type="dxa"/>
            <w:tcBorders>
              <w:top w:val="single" w:sz="4" w:space="0" w:color="auto"/>
              <w:left w:val="single" w:sz="4" w:space="0" w:color="auto"/>
              <w:bottom w:val="single" w:sz="4" w:space="0" w:color="auto"/>
              <w:right w:val="single" w:sz="4" w:space="0" w:color="auto"/>
            </w:tcBorders>
            <w:vAlign w:val="center"/>
            <w:hideMark/>
          </w:tcPr>
          <w:p w14:paraId="1E5216C4"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0</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E401C98"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331.848</w:t>
            </w:r>
          </w:p>
        </w:tc>
        <w:tc>
          <w:tcPr>
            <w:tcW w:w="1448" w:type="dxa"/>
            <w:tcBorders>
              <w:top w:val="single" w:sz="4" w:space="0" w:color="auto"/>
              <w:left w:val="single" w:sz="4" w:space="0" w:color="auto"/>
              <w:bottom w:val="single" w:sz="4" w:space="0" w:color="auto"/>
              <w:right w:val="single" w:sz="4" w:space="0" w:color="auto"/>
            </w:tcBorders>
            <w:vAlign w:val="center"/>
            <w:hideMark/>
          </w:tcPr>
          <w:p w14:paraId="0C95C053"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14:paraId="67FFE01B"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3.319</w:t>
            </w:r>
          </w:p>
        </w:tc>
      </w:tr>
      <w:tr w:rsidR="005967B6" w:rsidRPr="005967B6" w14:paraId="66F3942E" w14:textId="77777777" w:rsidTr="005967B6">
        <w:trPr>
          <w:trHeight w:val="47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3FDB26D" w14:textId="2558E700" w:rsidR="005967B6" w:rsidRPr="005967B6" w:rsidRDefault="005827D2" w:rsidP="005967B6">
            <w:pPr>
              <w:ind w:firstLine="0"/>
              <w:jc w:val="center"/>
              <w:rPr>
                <w:noProof/>
                <w:color w:val="000000" w:themeColor="text1"/>
                <w:sz w:val="18"/>
                <w:szCs w:val="18"/>
                <w:lang w:val="ro-RO"/>
              </w:rPr>
            </w:pPr>
            <w:r w:rsidRPr="005827D2">
              <w:rPr>
                <w:noProof/>
                <w:color w:val="000000" w:themeColor="text1"/>
                <w:sz w:val="18"/>
                <w:szCs w:val="18"/>
                <w:lang w:val="ro-RO"/>
              </w:rPr>
              <w:t>Quarter</w:t>
            </w:r>
            <w:r w:rsidR="005967B6" w:rsidRPr="005967B6">
              <w:rPr>
                <w:noProof/>
                <w:color w:val="000000" w:themeColor="text1"/>
                <w:sz w:val="18"/>
                <w:szCs w:val="18"/>
                <w:lang w:val="ro-RO"/>
              </w:rPr>
              <w:t xml:space="preserve"> II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B2BC37"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613.137</w:t>
            </w:r>
          </w:p>
        </w:tc>
        <w:tc>
          <w:tcPr>
            <w:tcW w:w="1397" w:type="dxa"/>
            <w:tcBorders>
              <w:top w:val="single" w:sz="4" w:space="0" w:color="auto"/>
              <w:left w:val="single" w:sz="4" w:space="0" w:color="auto"/>
              <w:bottom w:val="single" w:sz="4" w:space="0" w:color="auto"/>
              <w:right w:val="single" w:sz="4" w:space="0" w:color="auto"/>
            </w:tcBorders>
            <w:vAlign w:val="center"/>
            <w:hideMark/>
          </w:tcPr>
          <w:p w14:paraId="21EB61CC"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0</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E13A474"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613.137</w:t>
            </w:r>
          </w:p>
        </w:tc>
        <w:tc>
          <w:tcPr>
            <w:tcW w:w="1448" w:type="dxa"/>
            <w:tcBorders>
              <w:top w:val="single" w:sz="4" w:space="0" w:color="auto"/>
              <w:left w:val="single" w:sz="4" w:space="0" w:color="auto"/>
              <w:bottom w:val="single" w:sz="4" w:space="0" w:color="auto"/>
              <w:right w:val="single" w:sz="4" w:space="0" w:color="auto"/>
            </w:tcBorders>
            <w:vAlign w:val="center"/>
            <w:hideMark/>
          </w:tcPr>
          <w:p w14:paraId="3298CBB6"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14:paraId="2ACBC93B"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6.131</w:t>
            </w:r>
          </w:p>
        </w:tc>
      </w:tr>
      <w:tr w:rsidR="005967B6" w:rsidRPr="005967B6" w14:paraId="749DB356" w14:textId="77777777" w:rsidTr="005967B6">
        <w:trPr>
          <w:trHeight w:val="45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98887F2" w14:textId="779539C8" w:rsidR="005967B6" w:rsidRPr="005967B6" w:rsidRDefault="005827D2" w:rsidP="005967B6">
            <w:pPr>
              <w:ind w:firstLine="0"/>
              <w:jc w:val="center"/>
              <w:rPr>
                <w:noProof/>
                <w:color w:val="000000" w:themeColor="text1"/>
                <w:sz w:val="18"/>
                <w:szCs w:val="18"/>
                <w:lang w:val="ro-RO"/>
              </w:rPr>
            </w:pPr>
            <w:r w:rsidRPr="005827D2">
              <w:rPr>
                <w:noProof/>
                <w:color w:val="000000" w:themeColor="text1"/>
                <w:sz w:val="18"/>
                <w:szCs w:val="18"/>
                <w:lang w:val="ro-RO"/>
              </w:rPr>
              <w:t>Quarter</w:t>
            </w:r>
            <w:r w:rsidR="005967B6" w:rsidRPr="005967B6">
              <w:rPr>
                <w:noProof/>
                <w:color w:val="000000" w:themeColor="text1"/>
                <w:sz w:val="18"/>
                <w:szCs w:val="18"/>
                <w:lang w:val="ro-RO"/>
              </w:rPr>
              <w:t xml:space="preserve"> III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D42394"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613.137</w:t>
            </w:r>
          </w:p>
        </w:tc>
        <w:tc>
          <w:tcPr>
            <w:tcW w:w="1397" w:type="dxa"/>
            <w:tcBorders>
              <w:top w:val="single" w:sz="4" w:space="0" w:color="auto"/>
              <w:left w:val="single" w:sz="4" w:space="0" w:color="auto"/>
              <w:bottom w:val="single" w:sz="4" w:space="0" w:color="auto"/>
              <w:right w:val="single" w:sz="4" w:space="0" w:color="auto"/>
            </w:tcBorders>
            <w:vAlign w:val="center"/>
            <w:hideMark/>
          </w:tcPr>
          <w:p w14:paraId="6665EEB5"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0</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F837F07"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613.137</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2AD1140"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14:paraId="647B98B1"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6.131</w:t>
            </w:r>
          </w:p>
        </w:tc>
      </w:tr>
      <w:tr w:rsidR="005967B6" w:rsidRPr="005967B6" w14:paraId="08B7A43F" w14:textId="77777777" w:rsidTr="005967B6">
        <w:trPr>
          <w:trHeight w:val="47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0F5DFCE" w14:textId="09CAAC29" w:rsidR="005967B6" w:rsidRPr="005967B6" w:rsidRDefault="005827D2" w:rsidP="005967B6">
            <w:pPr>
              <w:ind w:firstLine="0"/>
              <w:jc w:val="center"/>
              <w:rPr>
                <w:noProof/>
                <w:color w:val="000000" w:themeColor="text1"/>
                <w:sz w:val="18"/>
                <w:szCs w:val="18"/>
                <w:lang w:val="ro-RO"/>
              </w:rPr>
            </w:pPr>
            <w:r w:rsidRPr="005827D2">
              <w:rPr>
                <w:noProof/>
                <w:color w:val="000000" w:themeColor="text1"/>
                <w:sz w:val="18"/>
                <w:szCs w:val="18"/>
                <w:lang w:val="ro-RO"/>
              </w:rPr>
              <w:t>Quarter</w:t>
            </w:r>
            <w:r w:rsidR="005967B6" w:rsidRPr="005967B6">
              <w:rPr>
                <w:noProof/>
                <w:color w:val="000000" w:themeColor="text1"/>
                <w:sz w:val="18"/>
                <w:szCs w:val="18"/>
                <w:lang w:val="ro-RO"/>
              </w:rPr>
              <w:t xml:space="preserve">  IV</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7BB86"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295.171</w:t>
            </w:r>
          </w:p>
        </w:tc>
        <w:tc>
          <w:tcPr>
            <w:tcW w:w="1397" w:type="dxa"/>
            <w:tcBorders>
              <w:top w:val="single" w:sz="4" w:space="0" w:color="auto"/>
              <w:left w:val="single" w:sz="4" w:space="0" w:color="auto"/>
              <w:bottom w:val="single" w:sz="4" w:space="0" w:color="auto"/>
              <w:right w:val="single" w:sz="4" w:space="0" w:color="auto"/>
            </w:tcBorders>
            <w:vAlign w:val="center"/>
            <w:hideMark/>
          </w:tcPr>
          <w:p w14:paraId="7F01EDC6"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0</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80BCCEE"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295.171</w:t>
            </w:r>
          </w:p>
        </w:tc>
        <w:tc>
          <w:tcPr>
            <w:tcW w:w="1448" w:type="dxa"/>
            <w:tcBorders>
              <w:top w:val="single" w:sz="4" w:space="0" w:color="auto"/>
              <w:left w:val="single" w:sz="4" w:space="0" w:color="auto"/>
              <w:bottom w:val="single" w:sz="4" w:space="0" w:color="auto"/>
              <w:right w:val="single" w:sz="4" w:space="0" w:color="auto"/>
            </w:tcBorders>
            <w:vAlign w:val="center"/>
            <w:hideMark/>
          </w:tcPr>
          <w:p w14:paraId="47C16DA6"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14:paraId="62985311" w14:textId="77777777" w:rsidR="005967B6" w:rsidRPr="005967B6" w:rsidRDefault="005967B6" w:rsidP="005967B6">
            <w:pPr>
              <w:ind w:firstLine="0"/>
              <w:jc w:val="center"/>
              <w:rPr>
                <w:noProof/>
                <w:color w:val="000000" w:themeColor="text1"/>
                <w:sz w:val="18"/>
                <w:szCs w:val="18"/>
                <w:lang w:val="ro-RO"/>
              </w:rPr>
            </w:pPr>
            <w:r w:rsidRPr="005967B6">
              <w:rPr>
                <w:noProof/>
                <w:color w:val="000000" w:themeColor="text1"/>
                <w:sz w:val="18"/>
                <w:szCs w:val="18"/>
                <w:lang w:val="ro-RO"/>
              </w:rPr>
              <w:t>2.952</w:t>
            </w:r>
          </w:p>
        </w:tc>
      </w:tr>
      <w:tr w:rsidR="005967B6" w:rsidRPr="005967B6" w14:paraId="407E60E5" w14:textId="77777777" w:rsidTr="005967B6">
        <w:trPr>
          <w:trHeight w:val="47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0824BC0A" w14:textId="77777777" w:rsidR="005967B6" w:rsidRPr="005967B6" w:rsidRDefault="005967B6" w:rsidP="005967B6">
            <w:pPr>
              <w:ind w:firstLine="0"/>
              <w:jc w:val="center"/>
              <w:rPr>
                <w:b/>
                <w:bCs/>
                <w:noProof/>
                <w:color w:val="000000" w:themeColor="text1"/>
                <w:sz w:val="18"/>
                <w:szCs w:val="18"/>
                <w:lang w:val="ro-RO"/>
              </w:rPr>
            </w:pPr>
            <w:r w:rsidRPr="005967B6">
              <w:rPr>
                <w:b/>
                <w:bCs/>
                <w:noProof/>
                <w:color w:val="000000" w:themeColor="text1"/>
                <w:sz w:val="18"/>
                <w:szCs w:val="18"/>
                <w:lang w:val="ro-RO"/>
              </w:rPr>
              <w:t>Total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4E7320" w14:textId="77777777" w:rsidR="005967B6" w:rsidRPr="005967B6" w:rsidRDefault="005967B6" w:rsidP="005967B6">
            <w:pPr>
              <w:ind w:firstLine="0"/>
              <w:jc w:val="center"/>
              <w:rPr>
                <w:b/>
                <w:bCs/>
                <w:noProof/>
                <w:color w:val="000000" w:themeColor="text1"/>
                <w:sz w:val="18"/>
                <w:szCs w:val="18"/>
                <w:lang w:val="ro-RO"/>
              </w:rPr>
            </w:pPr>
            <w:r w:rsidRPr="005967B6">
              <w:rPr>
                <w:b/>
                <w:bCs/>
                <w:noProof/>
                <w:color w:val="000000" w:themeColor="text1"/>
                <w:sz w:val="18"/>
                <w:szCs w:val="18"/>
                <w:lang w:val="ro-RO"/>
              </w:rPr>
              <w:t>1.853.293</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0A33B89" w14:textId="77777777" w:rsidR="005967B6" w:rsidRPr="005967B6" w:rsidRDefault="005967B6" w:rsidP="005967B6">
            <w:pPr>
              <w:ind w:firstLine="0"/>
              <w:jc w:val="center"/>
              <w:rPr>
                <w:b/>
                <w:bCs/>
                <w:noProof/>
                <w:color w:val="000000" w:themeColor="text1"/>
                <w:sz w:val="18"/>
                <w:szCs w:val="18"/>
                <w:lang w:val="ro-RO"/>
              </w:rPr>
            </w:pPr>
            <w:r w:rsidRPr="005967B6">
              <w:rPr>
                <w:b/>
                <w:bCs/>
                <w:noProof/>
                <w:color w:val="000000" w:themeColor="text1"/>
                <w:sz w:val="18"/>
                <w:szCs w:val="18"/>
                <w:lang w:val="ro-RO"/>
              </w:rPr>
              <w:t>0</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12FD75B" w14:textId="77777777" w:rsidR="005967B6" w:rsidRPr="005967B6" w:rsidRDefault="005967B6" w:rsidP="005967B6">
            <w:pPr>
              <w:ind w:firstLine="0"/>
              <w:jc w:val="center"/>
              <w:rPr>
                <w:b/>
                <w:bCs/>
                <w:noProof/>
                <w:color w:val="000000" w:themeColor="text1"/>
                <w:sz w:val="18"/>
                <w:szCs w:val="18"/>
                <w:lang w:val="ro-RO"/>
              </w:rPr>
            </w:pPr>
            <w:r w:rsidRPr="005967B6">
              <w:rPr>
                <w:b/>
                <w:bCs/>
                <w:noProof/>
                <w:color w:val="000000" w:themeColor="text1"/>
                <w:sz w:val="18"/>
                <w:szCs w:val="18"/>
                <w:lang w:val="ro-RO"/>
              </w:rPr>
              <w:t>1.853.293</w:t>
            </w:r>
          </w:p>
        </w:tc>
        <w:tc>
          <w:tcPr>
            <w:tcW w:w="1448" w:type="dxa"/>
            <w:tcBorders>
              <w:top w:val="single" w:sz="4" w:space="0" w:color="auto"/>
              <w:left w:val="single" w:sz="4" w:space="0" w:color="auto"/>
              <w:bottom w:val="single" w:sz="4" w:space="0" w:color="auto"/>
              <w:right w:val="single" w:sz="4" w:space="0" w:color="auto"/>
            </w:tcBorders>
            <w:vAlign w:val="center"/>
            <w:hideMark/>
          </w:tcPr>
          <w:p w14:paraId="436576B4" w14:textId="77777777" w:rsidR="005967B6" w:rsidRPr="005967B6" w:rsidRDefault="005967B6" w:rsidP="005967B6">
            <w:pPr>
              <w:ind w:firstLine="0"/>
              <w:jc w:val="center"/>
              <w:rPr>
                <w:b/>
                <w:bCs/>
                <w:noProof/>
                <w:color w:val="000000" w:themeColor="text1"/>
                <w:sz w:val="18"/>
                <w:szCs w:val="18"/>
                <w:lang w:val="ro-RO"/>
              </w:rPr>
            </w:pPr>
            <w:r w:rsidRPr="005967B6">
              <w:rPr>
                <w:b/>
                <w:bCs/>
                <w:noProof/>
                <w:color w:val="000000" w:themeColor="text1"/>
                <w:sz w:val="18"/>
                <w:szCs w:val="18"/>
                <w:lang w:val="ro-RO"/>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14:paraId="2687BD85" w14:textId="77777777" w:rsidR="005967B6" w:rsidRPr="005967B6" w:rsidRDefault="005967B6" w:rsidP="005967B6">
            <w:pPr>
              <w:ind w:firstLine="0"/>
              <w:jc w:val="center"/>
              <w:rPr>
                <w:b/>
                <w:bCs/>
                <w:noProof/>
                <w:color w:val="000000" w:themeColor="text1"/>
                <w:sz w:val="18"/>
                <w:szCs w:val="18"/>
                <w:lang w:val="ro-RO"/>
              </w:rPr>
            </w:pPr>
            <w:r w:rsidRPr="005967B6">
              <w:rPr>
                <w:b/>
                <w:bCs/>
                <w:noProof/>
                <w:color w:val="000000" w:themeColor="text1"/>
                <w:sz w:val="18"/>
                <w:szCs w:val="18"/>
                <w:lang w:val="ro-RO"/>
              </w:rPr>
              <w:t>18.533</w:t>
            </w:r>
          </w:p>
        </w:tc>
      </w:tr>
    </w:tbl>
    <w:p w14:paraId="176D847B" w14:textId="783AEE2D" w:rsidR="005967B6" w:rsidRDefault="00DD2421" w:rsidP="00F97CF2">
      <w:pPr>
        <w:ind w:firstLine="0"/>
        <w:jc w:val="center"/>
        <w:rPr>
          <w:i/>
          <w:iCs/>
          <w:noProof/>
          <w:color w:val="44546A" w:themeColor="text2"/>
          <w:sz w:val="18"/>
          <w:szCs w:val="18"/>
        </w:rPr>
      </w:pPr>
      <w:r w:rsidRPr="00DD2421">
        <w:rPr>
          <w:i/>
          <w:iCs/>
          <w:noProof/>
          <w:color w:val="44546A" w:themeColor="text2"/>
          <w:sz w:val="18"/>
          <w:szCs w:val="18"/>
        </w:rPr>
        <w:t>Source: own processing</w:t>
      </w:r>
    </w:p>
    <w:p w14:paraId="4A634577" w14:textId="77777777" w:rsidR="00DD2421" w:rsidRDefault="00DD2421" w:rsidP="00F97CF2">
      <w:pPr>
        <w:ind w:firstLine="0"/>
        <w:jc w:val="center"/>
        <w:rPr>
          <w:i/>
          <w:iCs/>
          <w:noProof/>
          <w:color w:val="44546A" w:themeColor="text2"/>
          <w:sz w:val="18"/>
          <w:szCs w:val="18"/>
        </w:rPr>
      </w:pPr>
    </w:p>
    <w:p w14:paraId="2F846A8D" w14:textId="77777777" w:rsidR="00DD2421" w:rsidRPr="005967B6" w:rsidRDefault="00DD2421" w:rsidP="00F97CF2">
      <w:pPr>
        <w:ind w:firstLine="0"/>
        <w:jc w:val="center"/>
        <w:rPr>
          <w:i/>
          <w:iCs/>
          <w:noProof/>
          <w:color w:val="000000" w:themeColor="text1"/>
          <w:sz w:val="18"/>
          <w:szCs w:val="18"/>
        </w:rPr>
      </w:pPr>
    </w:p>
    <w:p w14:paraId="1A2606E6" w14:textId="2495B205" w:rsidR="005967B6" w:rsidRPr="005967B6" w:rsidRDefault="00DD2421" w:rsidP="005967B6">
      <w:pPr>
        <w:pStyle w:val="Legend"/>
        <w:spacing w:after="0"/>
        <w:jc w:val="center"/>
        <w:rPr>
          <w:color w:val="000000" w:themeColor="text1"/>
          <w:lang w:val="ro-RO"/>
        </w:rPr>
      </w:pPr>
      <w:r w:rsidRPr="00DD2421">
        <w:rPr>
          <w:i w:val="0"/>
          <w:iCs w:val="0"/>
          <w:noProof/>
          <w:lang w:val="ro-RO"/>
        </w:rPr>
        <w:t xml:space="preserve">Table </w:t>
      </w:r>
      <w:r>
        <w:rPr>
          <w:i w:val="0"/>
          <w:iCs w:val="0"/>
          <w:noProof/>
          <w:lang w:val="ro-RO"/>
        </w:rPr>
        <w:t>4</w:t>
      </w:r>
      <w:r w:rsidRPr="00DD2421">
        <w:rPr>
          <w:i w:val="0"/>
          <w:iCs w:val="0"/>
          <w:noProof/>
          <w:lang w:val="ro-RO"/>
        </w:rPr>
        <w:t>: Quarterly tax for 202</w:t>
      </w:r>
      <w:r>
        <w:rPr>
          <w:i w:val="0"/>
          <w:iCs w:val="0"/>
          <w:noProof/>
          <w:lang w:val="ro-RO"/>
        </w:rPr>
        <w:t>3</w:t>
      </w:r>
      <w:r w:rsidRPr="00DD2421">
        <w:rPr>
          <w:i w:val="0"/>
          <w:iCs w:val="0"/>
          <w:noProof/>
          <w:lang w:val="ro-RO"/>
        </w:rPr>
        <w:t xml:space="preserve"> at SC DECONCAVA SRL</w:t>
      </w:r>
    </w:p>
    <w:tbl>
      <w:tblPr>
        <w:tblStyle w:val="Tabelgril2"/>
        <w:tblW w:w="8790" w:type="dxa"/>
        <w:jc w:val="center"/>
        <w:tblInd w:w="0" w:type="dxa"/>
        <w:tblLayout w:type="fixed"/>
        <w:tblLook w:val="04A0" w:firstRow="1" w:lastRow="0" w:firstColumn="1" w:lastColumn="0" w:noHBand="0" w:noVBand="1"/>
      </w:tblPr>
      <w:tblGrid>
        <w:gridCol w:w="1561"/>
        <w:gridCol w:w="1468"/>
        <w:gridCol w:w="1502"/>
        <w:gridCol w:w="1522"/>
        <w:gridCol w:w="1319"/>
        <w:gridCol w:w="1418"/>
      </w:tblGrid>
      <w:tr w:rsidR="005967B6" w:rsidRPr="005967B6" w14:paraId="379884C4" w14:textId="77777777" w:rsidTr="00DD2421">
        <w:trPr>
          <w:trHeight w:val="613"/>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530097D1" w14:textId="3992D5BC" w:rsidR="005967B6" w:rsidRPr="00C32E76" w:rsidRDefault="005827D2" w:rsidP="005967B6">
            <w:pPr>
              <w:spacing w:line="240" w:lineRule="auto"/>
              <w:ind w:firstLine="0"/>
              <w:jc w:val="center"/>
              <w:rPr>
                <w:b/>
                <w:bCs/>
                <w:sz w:val="18"/>
                <w:szCs w:val="18"/>
                <w:lang w:val="en-US"/>
              </w:rPr>
            </w:pPr>
            <w:r w:rsidRPr="00C32E76">
              <w:rPr>
                <w:b/>
                <w:bCs/>
                <w:sz w:val="18"/>
                <w:szCs w:val="18"/>
                <w:lang w:val="en-US"/>
              </w:rPr>
              <w:t>Quarter</w:t>
            </w:r>
          </w:p>
        </w:tc>
        <w:tc>
          <w:tcPr>
            <w:tcW w:w="1468" w:type="dxa"/>
            <w:tcBorders>
              <w:top w:val="single" w:sz="4" w:space="0" w:color="auto"/>
              <w:left w:val="single" w:sz="4" w:space="0" w:color="auto"/>
              <w:bottom w:val="single" w:sz="4" w:space="0" w:color="auto"/>
              <w:right w:val="single" w:sz="4" w:space="0" w:color="auto"/>
            </w:tcBorders>
            <w:vAlign w:val="center"/>
            <w:hideMark/>
          </w:tcPr>
          <w:p w14:paraId="58CD1CF1" w14:textId="5F551E8E" w:rsidR="005967B6" w:rsidRPr="00C32E76" w:rsidRDefault="00280BC7" w:rsidP="005967B6">
            <w:pPr>
              <w:spacing w:line="240" w:lineRule="auto"/>
              <w:ind w:firstLine="0"/>
              <w:jc w:val="center"/>
              <w:rPr>
                <w:b/>
                <w:bCs/>
                <w:sz w:val="18"/>
                <w:szCs w:val="18"/>
                <w:lang w:val="en-US"/>
              </w:rPr>
            </w:pPr>
            <w:r w:rsidRPr="00C32E76">
              <w:rPr>
                <w:b/>
                <w:bCs/>
                <w:sz w:val="18"/>
                <w:szCs w:val="18"/>
                <w:lang w:val="en-US"/>
              </w:rPr>
              <w:t>Income (</w:t>
            </w:r>
            <w:r w:rsidR="005827D2" w:rsidRPr="00C32E76">
              <w:rPr>
                <w:b/>
                <w:bCs/>
                <w:sz w:val="18"/>
                <w:szCs w:val="18"/>
                <w:lang w:val="en-US"/>
              </w:rPr>
              <w:t>RON</w:t>
            </w:r>
            <w:r w:rsidR="005967B6" w:rsidRPr="00C32E76">
              <w:rPr>
                <w:b/>
                <w:bCs/>
                <w:sz w:val="18"/>
                <w:szCs w:val="18"/>
                <w:lang w:val="en-US"/>
              </w:rPr>
              <w:t>)</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FDC3898" w14:textId="4F9A072A" w:rsidR="005967B6" w:rsidRPr="00C32E76" w:rsidRDefault="00DD2421" w:rsidP="005967B6">
            <w:pPr>
              <w:spacing w:line="240" w:lineRule="auto"/>
              <w:ind w:firstLine="0"/>
              <w:jc w:val="center"/>
              <w:rPr>
                <w:b/>
                <w:bCs/>
                <w:sz w:val="18"/>
                <w:szCs w:val="18"/>
                <w:lang w:val="en-US"/>
              </w:rPr>
            </w:pPr>
            <w:r w:rsidRPr="00C32E76">
              <w:rPr>
                <w:b/>
                <w:bCs/>
                <w:sz w:val="18"/>
                <w:szCs w:val="18"/>
                <w:lang w:val="en-US"/>
              </w:rPr>
              <w:t xml:space="preserve">Non-taxable income </w:t>
            </w:r>
            <w:r w:rsidR="005967B6" w:rsidRPr="00C32E76">
              <w:rPr>
                <w:b/>
                <w:bCs/>
                <w:sz w:val="18"/>
                <w:szCs w:val="18"/>
                <w:lang w:val="en-US"/>
              </w:rPr>
              <w:t>(</w:t>
            </w:r>
            <w:r w:rsidR="005827D2" w:rsidRPr="00C32E76">
              <w:rPr>
                <w:b/>
                <w:bCs/>
                <w:sz w:val="18"/>
                <w:szCs w:val="18"/>
                <w:lang w:val="en-US"/>
              </w:rPr>
              <w:t>RON</w:t>
            </w:r>
            <w:r w:rsidR="005967B6" w:rsidRPr="00C32E76">
              <w:rPr>
                <w:b/>
                <w:bCs/>
                <w:sz w:val="18"/>
                <w:szCs w:val="18"/>
                <w:lang w:val="en-US"/>
              </w:rPr>
              <w:t>)</w:t>
            </w:r>
          </w:p>
        </w:tc>
        <w:tc>
          <w:tcPr>
            <w:tcW w:w="1522" w:type="dxa"/>
            <w:tcBorders>
              <w:top w:val="single" w:sz="4" w:space="0" w:color="auto"/>
              <w:left w:val="single" w:sz="4" w:space="0" w:color="auto"/>
              <w:bottom w:val="single" w:sz="4" w:space="0" w:color="auto"/>
              <w:right w:val="single" w:sz="4" w:space="0" w:color="auto"/>
            </w:tcBorders>
            <w:vAlign w:val="center"/>
            <w:hideMark/>
          </w:tcPr>
          <w:p w14:paraId="4E740066" w14:textId="4388043A" w:rsidR="005967B6" w:rsidRPr="00C32E76" w:rsidRDefault="00DD2421" w:rsidP="005967B6">
            <w:pPr>
              <w:spacing w:line="240" w:lineRule="auto"/>
              <w:ind w:firstLine="0"/>
              <w:jc w:val="center"/>
              <w:rPr>
                <w:b/>
                <w:bCs/>
                <w:sz w:val="18"/>
                <w:szCs w:val="18"/>
                <w:lang w:val="en-US"/>
              </w:rPr>
            </w:pPr>
            <w:r w:rsidRPr="00C32E76">
              <w:rPr>
                <w:b/>
                <w:bCs/>
                <w:sz w:val="18"/>
                <w:szCs w:val="18"/>
                <w:lang w:val="en-US"/>
              </w:rPr>
              <w:t xml:space="preserve">Taxable income </w:t>
            </w:r>
            <w:r w:rsidR="005967B6" w:rsidRPr="00C32E76">
              <w:rPr>
                <w:b/>
                <w:bCs/>
                <w:sz w:val="18"/>
                <w:szCs w:val="18"/>
                <w:lang w:val="en-US"/>
              </w:rPr>
              <w:t>(</w:t>
            </w:r>
            <w:r w:rsidR="005827D2" w:rsidRPr="00C32E76">
              <w:rPr>
                <w:b/>
                <w:bCs/>
                <w:sz w:val="18"/>
                <w:szCs w:val="18"/>
                <w:lang w:val="en-US"/>
              </w:rPr>
              <w:t>RON</w:t>
            </w:r>
            <w:r w:rsidR="005967B6" w:rsidRPr="00C32E76">
              <w:rPr>
                <w:b/>
                <w:bCs/>
                <w:sz w:val="18"/>
                <w:szCs w:val="18"/>
                <w:lang w:val="en-US"/>
              </w:rPr>
              <w:t>)</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3403972" w14:textId="16E4699B" w:rsidR="005967B6" w:rsidRPr="00C32E76" w:rsidRDefault="00DD2421" w:rsidP="005967B6">
            <w:pPr>
              <w:spacing w:line="240" w:lineRule="auto"/>
              <w:ind w:firstLine="0"/>
              <w:jc w:val="center"/>
              <w:rPr>
                <w:b/>
                <w:bCs/>
                <w:sz w:val="18"/>
                <w:szCs w:val="18"/>
                <w:lang w:val="en-US"/>
              </w:rPr>
            </w:pPr>
            <w:r w:rsidRPr="00C32E76">
              <w:rPr>
                <w:b/>
                <w:bCs/>
                <w:sz w:val="18"/>
                <w:szCs w:val="18"/>
                <w:lang w:val="en-US"/>
              </w:rPr>
              <w:t>Rate</w:t>
            </w:r>
            <w:r w:rsidR="005967B6" w:rsidRPr="00C32E76">
              <w:rPr>
                <w:b/>
                <w:bCs/>
                <w:sz w:val="18"/>
                <w:szCs w:val="18"/>
                <w:lang w:val="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E8B5EF" w14:textId="050FC29B" w:rsidR="005967B6" w:rsidRPr="00C32E76" w:rsidRDefault="00DD2421" w:rsidP="005967B6">
            <w:pPr>
              <w:spacing w:line="240" w:lineRule="auto"/>
              <w:ind w:firstLine="0"/>
              <w:jc w:val="center"/>
              <w:rPr>
                <w:b/>
                <w:bCs/>
                <w:sz w:val="18"/>
                <w:szCs w:val="18"/>
                <w:lang w:val="en-US"/>
              </w:rPr>
            </w:pPr>
            <w:r w:rsidRPr="00C32E76">
              <w:rPr>
                <w:b/>
                <w:bCs/>
                <w:sz w:val="18"/>
                <w:szCs w:val="18"/>
                <w:lang w:val="en-US"/>
              </w:rPr>
              <w:t>Tax</w:t>
            </w:r>
            <w:r w:rsidR="005967B6" w:rsidRPr="00C32E76">
              <w:rPr>
                <w:b/>
                <w:bCs/>
                <w:sz w:val="18"/>
                <w:szCs w:val="18"/>
                <w:lang w:val="en-US"/>
              </w:rPr>
              <w:t xml:space="preserve"> (</w:t>
            </w:r>
            <w:r w:rsidR="005827D2" w:rsidRPr="00C32E76">
              <w:rPr>
                <w:b/>
                <w:bCs/>
                <w:sz w:val="18"/>
                <w:szCs w:val="18"/>
                <w:lang w:val="en-US"/>
              </w:rPr>
              <w:t>RON</w:t>
            </w:r>
            <w:r w:rsidR="005967B6" w:rsidRPr="00C32E76">
              <w:rPr>
                <w:b/>
                <w:bCs/>
                <w:sz w:val="18"/>
                <w:szCs w:val="18"/>
                <w:lang w:val="en-US"/>
              </w:rPr>
              <w:t>)</w:t>
            </w:r>
          </w:p>
        </w:tc>
      </w:tr>
      <w:tr w:rsidR="005967B6" w:rsidRPr="005967B6" w14:paraId="3E7A11CB" w14:textId="77777777" w:rsidTr="00DD2421">
        <w:trPr>
          <w:trHeight w:val="591"/>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712A1F1A" w14:textId="3649C9A5" w:rsidR="005967B6" w:rsidRPr="00C32E76" w:rsidRDefault="005827D2" w:rsidP="005967B6">
            <w:pPr>
              <w:spacing w:line="240" w:lineRule="auto"/>
              <w:ind w:firstLine="0"/>
              <w:jc w:val="center"/>
              <w:rPr>
                <w:sz w:val="18"/>
                <w:szCs w:val="18"/>
                <w:lang w:val="en-US"/>
              </w:rPr>
            </w:pPr>
            <w:r w:rsidRPr="00C32E76">
              <w:rPr>
                <w:sz w:val="18"/>
                <w:szCs w:val="18"/>
                <w:lang w:val="en-US"/>
              </w:rPr>
              <w:t>Quarter</w:t>
            </w:r>
            <w:r w:rsidR="005967B6" w:rsidRPr="00C32E76">
              <w:rPr>
                <w:sz w:val="18"/>
                <w:szCs w:val="18"/>
                <w:lang w:val="en-US"/>
              </w:rPr>
              <w:t xml:space="preserve"> I</w:t>
            </w:r>
          </w:p>
        </w:tc>
        <w:tc>
          <w:tcPr>
            <w:tcW w:w="1468" w:type="dxa"/>
            <w:tcBorders>
              <w:top w:val="single" w:sz="4" w:space="0" w:color="auto"/>
              <w:left w:val="single" w:sz="4" w:space="0" w:color="auto"/>
              <w:bottom w:val="single" w:sz="4" w:space="0" w:color="auto"/>
              <w:right w:val="single" w:sz="4" w:space="0" w:color="auto"/>
            </w:tcBorders>
            <w:vAlign w:val="center"/>
            <w:hideMark/>
          </w:tcPr>
          <w:p w14:paraId="77F828B8"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323.122</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63F19DA"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3DCF6F2D"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323.122</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9E8E6EA"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EF897B"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3.231</w:t>
            </w:r>
          </w:p>
        </w:tc>
      </w:tr>
      <w:tr w:rsidR="005967B6" w:rsidRPr="005967B6" w14:paraId="20DED2C1" w14:textId="77777777" w:rsidTr="00DD2421">
        <w:trPr>
          <w:trHeight w:val="613"/>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6C0977FA" w14:textId="51C52EA4" w:rsidR="005967B6" w:rsidRPr="00C32E76" w:rsidRDefault="005827D2" w:rsidP="005967B6">
            <w:pPr>
              <w:spacing w:line="240" w:lineRule="auto"/>
              <w:ind w:firstLine="0"/>
              <w:jc w:val="center"/>
              <w:rPr>
                <w:sz w:val="18"/>
                <w:szCs w:val="18"/>
                <w:lang w:val="en-US"/>
              </w:rPr>
            </w:pPr>
            <w:r w:rsidRPr="00C32E76">
              <w:rPr>
                <w:sz w:val="18"/>
                <w:szCs w:val="18"/>
                <w:lang w:val="en-US"/>
              </w:rPr>
              <w:t>Quarter</w:t>
            </w:r>
            <w:r w:rsidRPr="00C32E76">
              <w:rPr>
                <w:sz w:val="18"/>
                <w:szCs w:val="18"/>
                <w:lang w:val="en-US"/>
              </w:rPr>
              <w:t xml:space="preserve"> </w:t>
            </w:r>
            <w:r w:rsidR="005967B6" w:rsidRPr="00C32E76">
              <w:rPr>
                <w:sz w:val="18"/>
                <w:szCs w:val="18"/>
                <w:lang w:val="en-US"/>
              </w:rPr>
              <w:t>II</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24CACDA"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381.932</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2900AEE"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3AFFF6DF"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381.932</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8AE9B83"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90A38B"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3.819</w:t>
            </w:r>
          </w:p>
        </w:tc>
      </w:tr>
      <w:tr w:rsidR="005967B6" w:rsidRPr="005967B6" w14:paraId="7D156C6B" w14:textId="77777777" w:rsidTr="00DD2421">
        <w:trPr>
          <w:trHeight w:val="591"/>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1F4805FD" w14:textId="21A47EEA" w:rsidR="005967B6" w:rsidRPr="00C32E76" w:rsidRDefault="005827D2" w:rsidP="005967B6">
            <w:pPr>
              <w:spacing w:line="240" w:lineRule="auto"/>
              <w:ind w:firstLine="0"/>
              <w:jc w:val="center"/>
              <w:rPr>
                <w:sz w:val="18"/>
                <w:szCs w:val="18"/>
                <w:lang w:val="en-US"/>
              </w:rPr>
            </w:pPr>
            <w:r w:rsidRPr="00C32E76">
              <w:rPr>
                <w:sz w:val="18"/>
                <w:szCs w:val="18"/>
                <w:lang w:val="en-US"/>
              </w:rPr>
              <w:t>Quarter</w:t>
            </w:r>
            <w:r w:rsidR="005967B6" w:rsidRPr="00C32E76">
              <w:rPr>
                <w:sz w:val="18"/>
                <w:szCs w:val="18"/>
                <w:lang w:val="en-US"/>
              </w:rPr>
              <w:t xml:space="preserve"> III</w:t>
            </w:r>
          </w:p>
        </w:tc>
        <w:tc>
          <w:tcPr>
            <w:tcW w:w="1468" w:type="dxa"/>
            <w:tcBorders>
              <w:top w:val="single" w:sz="4" w:space="0" w:color="auto"/>
              <w:left w:val="single" w:sz="4" w:space="0" w:color="auto"/>
              <w:bottom w:val="single" w:sz="4" w:space="0" w:color="auto"/>
              <w:right w:val="single" w:sz="4" w:space="0" w:color="auto"/>
            </w:tcBorders>
            <w:vAlign w:val="center"/>
            <w:hideMark/>
          </w:tcPr>
          <w:p w14:paraId="291A8684"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422.000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9A733FE"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1E828066"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422.000</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F849CE7"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840735"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4.220</w:t>
            </w:r>
          </w:p>
        </w:tc>
      </w:tr>
      <w:tr w:rsidR="005967B6" w:rsidRPr="005967B6" w14:paraId="39FBF385" w14:textId="77777777" w:rsidTr="00DD2421">
        <w:trPr>
          <w:trHeight w:val="613"/>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39ED41ED" w14:textId="72E40088" w:rsidR="005967B6" w:rsidRPr="00C32E76" w:rsidRDefault="005827D2" w:rsidP="005967B6">
            <w:pPr>
              <w:spacing w:line="240" w:lineRule="auto"/>
              <w:ind w:firstLine="0"/>
              <w:jc w:val="center"/>
              <w:rPr>
                <w:sz w:val="18"/>
                <w:szCs w:val="18"/>
                <w:lang w:val="en-US"/>
              </w:rPr>
            </w:pPr>
            <w:r w:rsidRPr="00C32E76">
              <w:rPr>
                <w:sz w:val="18"/>
                <w:szCs w:val="18"/>
                <w:lang w:val="en-US"/>
              </w:rPr>
              <w:t>Quarter</w:t>
            </w:r>
            <w:r w:rsidR="005967B6" w:rsidRPr="00C32E76">
              <w:rPr>
                <w:sz w:val="18"/>
                <w:szCs w:val="18"/>
                <w:lang w:val="en-US"/>
              </w:rPr>
              <w:t xml:space="preserve"> IV</w:t>
            </w:r>
          </w:p>
        </w:tc>
        <w:tc>
          <w:tcPr>
            <w:tcW w:w="1468" w:type="dxa"/>
            <w:tcBorders>
              <w:top w:val="single" w:sz="4" w:space="0" w:color="auto"/>
              <w:left w:val="single" w:sz="4" w:space="0" w:color="auto"/>
              <w:bottom w:val="single" w:sz="4" w:space="0" w:color="auto"/>
              <w:right w:val="single" w:sz="4" w:space="0" w:color="auto"/>
            </w:tcBorders>
            <w:vAlign w:val="center"/>
            <w:hideMark/>
          </w:tcPr>
          <w:p w14:paraId="5E070114"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514.732</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DC15041"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0C30AE59"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514.732</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29D52EA"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2B8E5"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5.148</w:t>
            </w:r>
          </w:p>
        </w:tc>
      </w:tr>
      <w:tr w:rsidR="005967B6" w:rsidRPr="005967B6" w14:paraId="7ADF11FA" w14:textId="77777777" w:rsidTr="00DD2421">
        <w:trPr>
          <w:trHeight w:val="537"/>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11BA165A"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Total 2023</w:t>
            </w:r>
          </w:p>
        </w:tc>
        <w:tc>
          <w:tcPr>
            <w:tcW w:w="1468" w:type="dxa"/>
            <w:tcBorders>
              <w:top w:val="single" w:sz="4" w:space="0" w:color="auto"/>
              <w:left w:val="single" w:sz="4" w:space="0" w:color="auto"/>
              <w:bottom w:val="single" w:sz="4" w:space="0" w:color="auto"/>
              <w:right w:val="single" w:sz="4" w:space="0" w:color="auto"/>
            </w:tcBorders>
            <w:vAlign w:val="center"/>
            <w:hideMark/>
          </w:tcPr>
          <w:p w14:paraId="2AF836CA"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1.641.786</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F5AB0C9"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0</w:t>
            </w:r>
          </w:p>
        </w:tc>
        <w:tc>
          <w:tcPr>
            <w:tcW w:w="1522" w:type="dxa"/>
            <w:tcBorders>
              <w:top w:val="single" w:sz="4" w:space="0" w:color="auto"/>
              <w:left w:val="single" w:sz="4" w:space="0" w:color="auto"/>
              <w:bottom w:val="single" w:sz="4" w:space="0" w:color="auto"/>
              <w:right w:val="single" w:sz="4" w:space="0" w:color="auto"/>
            </w:tcBorders>
            <w:vAlign w:val="center"/>
            <w:hideMark/>
          </w:tcPr>
          <w:p w14:paraId="253CDAD9"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1.641.786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AA489C7"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46740F" w14:textId="77777777" w:rsidR="005967B6" w:rsidRPr="00C32E76" w:rsidRDefault="005967B6" w:rsidP="005967B6">
            <w:pPr>
              <w:spacing w:line="240" w:lineRule="auto"/>
              <w:ind w:firstLine="0"/>
              <w:jc w:val="center"/>
              <w:rPr>
                <w:sz w:val="18"/>
                <w:szCs w:val="18"/>
                <w:lang w:val="en-US"/>
              </w:rPr>
            </w:pPr>
            <w:r w:rsidRPr="00C32E76">
              <w:rPr>
                <w:sz w:val="18"/>
                <w:szCs w:val="18"/>
                <w:lang w:val="en-US"/>
              </w:rPr>
              <w:t>16.418</w:t>
            </w:r>
          </w:p>
        </w:tc>
      </w:tr>
    </w:tbl>
    <w:p w14:paraId="0E5FC375" w14:textId="3E140013" w:rsidR="005967B6" w:rsidRDefault="00DD2421" w:rsidP="00F97CF2">
      <w:pPr>
        <w:jc w:val="center"/>
        <w:rPr>
          <w:i/>
          <w:iCs/>
          <w:noProof/>
          <w:color w:val="44546A" w:themeColor="text2"/>
          <w:sz w:val="18"/>
          <w:szCs w:val="18"/>
          <w:lang w:val="ro-RO"/>
        </w:rPr>
      </w:pPr>
      <w:r w:rsidRPr="00DD2421">
        <w:rPr>
          <w:i/>
          <w:iCs/>
          <w:noProof/>
          <w:color w:val="44546A" w:themeColor="text2"/>
          <w:sz w:val="18"/>
          <w:szCs w:val="18"/>
          <w:lang w:val="ro-RO"/>
        </w:rPr>
        <w:t>Source: own processing</w:t>
      </w:r>
    </w:p>
    <w:p w14:paraId="2DB46117" w14:textId="77777777" w:rsidR="00DD2421" w:rsidRPr="0056029B" w:rsidRDefault="00DD2421" w:rsidP="00F97CF2">
      <w:pPr>
        <w:jc w:val="center"/>
        <w:rPr>
          <w:i/>
          <w:iCs/>
          <w:noProof/>
          <w:color w:val="44546A" w:themeColor="text2"/>
          <w:lang w:val="ro-RO"/>
        </w:rPr>
      </w:pPr>
    </w:p>
    <w:p w14:paraId="6E241551" w14:textId="77777777" w:rsidR="00DD2421" w:rsidRDefault="00DD2421" w:rsidP="0056029B">
      <w:pPr>
        <w:rPr>
          <w:noProof/>
          <w:color w:val="000000" w:themeColor="text1"/>
          <w:lang w:val="ro-RO"/>
        </w:rPr>
      </w:pPr>
      <w:r w:rsidRPr="00DD2421">
        <w:rPr>
          <w:noProof/>
          <w:color w:val="000000" w:themeColor="text1"/>
          <w:lang w:val="ro-RO"/>
        </w:rPr>
        <w:t>The analyzed tables highlight the evolution of income and tax owed by a microenterprise during the period 2022–2023, with details by quarters. In both financial years, income was fully taxable, and the tax rate applied was 1%, according to the specific tax regime for microenterprises.</w:t>
      </w:r>
    </w:p>
    <w:p w14:paraId="0A2FC8A5" w14:textId="77777777" w:rsidR="00DD2421" w:rsidRDefault="00DD2421" w:rsidP="0056029B">
      <w:pPr>
        <w:rPr>
          <w:noProof/>
          <w:color w:val="000000" w:themeColor="text1"/>
          <w:lang w:val="ro-RO"/>
        </w:rPr>
      </w:pPr>
      <w:r w:rsidRPr="00DD2421">
        <w:rPr>
          <w:noProof/>
          <w:color w:val="000000" w:themeColor="text1"/>
          <w:lang w:val="ro-RO"/>
        </w:rPr>
        <w:t>In 2022, total revenues amounted to 1,853,293 lei, which generated a tax of 18,533 lei. The highest levels of revenue were recorded in the second and third quarters, followed by a notable decrease in the last quarter.</w:t>
      </w:r>
    </w:p>
    <w:p w14:paraId="1A841F12" w14:textId="2A9F0DD1" w:rsidR="0056029B" w:rsidRDefault="00DD2421" w:rsidP="005967B6">
      <w:pPr>
        <w:rPr>
          <w:noProof/>
          <w:color w:val="000000" w:themeColor="text1"/>
          <w:lang w:val="ro-RO"/>
        </w:rPr>
      </w:pPr>
      <w:r w:rsidRPr="00DD2421">
        <w:rPr>
          <w:noProof/>
          <w:color w:val="000000" w:themeColor="text1"/>
          <w:lang w:val="ro-RO"/>
        </w:rPr>
        <w:t>For 2023, total revenues were lower, reaching 1,641,786 lei. However, the quarterly distribution shows an upward trend, reflecting a constant increase from Q1 to the end of the year. This dynamics suggests a gradual improvement in performance, possibly the result of more efficient adaptation to economic conditions or operational optimization.</w:t>
      </w:r>
    </w:p>
    <w:p w14:paraId="15E4A026" w14:textId="77777777" w:rsidR="00427A09" w:rsidRDefault="00427A09" w:rsidP="005967B6">
      <w:pPr>
        <w:rPr>
          <w:noProof/>
          <w:color w:val="000000" w:themeColor="text1"/>
          <w:lang w:val="ro-RO"/>
        </w:rPr>
      </w:pPr>
    </w:p>
    <w:p w14:paraId="68406B1D" w14:textId="51F16BCE" w:rsidR="0056029B" w:rsidRDefault="00DD2421" w:rsidP="005967B6">
      <w:pPr>
        <w:rPr>
          <w:noProof/>
          <w:color w:val="000000" w:themeColor="text1"/>
          <w:sz w:val="24"/>
          <w:szCs w:val="24"/>
          <w:lang w:val="ro-RO"/>
        </w:rPr>
      </w:pPr>
      <w:r w:rsidRPr="00DD2421">
        <w:rPr>
          <w:noProof/>
          <w:color w:val="000000" w:themeColor="text1"/>
          <w:sz w:val="24"/>
          <w:szCs w:val="24"/>
          <w:lang w:val="ro-RO"/>
        </w:rPr>
        <w:t>Tax declaration and payment</w:t>
      </w:r>
      <w:r w:rsidR="0056029B">
        <w:rPr>
          <w:noProof/>
          <w:color w:val="000000" w:themeColor="text1"/>
          <w:sz w:val="24"/>
          <w:szCs w:val="24"/>
          <w:lang w:val="ro-RO"/>
        </w:rPr>
        <w:t>:</w:t>
      </w:r>
    </w:p>
    <w:p w14:paraId="2CE98BDA" w14:textId="77777777" w:rsidR="0056029B" w:rsidRDefault="0056029B" w:rsidP="005967B6">
      <w:pPr>
        <w:rPr>
          <w:noProof/>
          <w:color w:val="000000" w:themeColor="text1"/>
          <w:sz w:val="24"/>
          <w:szCs w:val="24"/>
          <w:lang w:val="ro-RO"/>
        </w:rPr>
      </w:pPr>
    </w:p>
    <w:p w14:paraId="216B0A18" w14:textId="49E70899" w:rsidR="0056029B" w:rsidRDefault="00DD2421" w:rsidP="0056029B">
      <w:pPr>
        <w:pStyle w:val="Legend"/>
        <w:spacing w:after="0"/>
        <w:jc w:val="center"/>
        <w:rPr>
          <w:noProof/>
          <w:color w:val="000000" w:themeColor="text1"/>
          <w:sz w:val="24"/>
          <w:szCs w:val="24"/>
          <w:lang w:val="ro-RO"/>
        </w:rPr>
      </w:pPr>
      <w:r w:rsidRPr="00DD2421">
        <w:t>Table 5: Tax declaration and payment calendar</w:t>
      </w:r>
    </w:p>
    <w:tbl>
      <w:tblPr>
        <w:tblStyle w:val="Tabelgril3"/>
        <w:tblW w:w="8973" w:type="dxa"/>
        <w:jc w:val="center"/>
        <w:tblInd w:w="0" w:type="dxa"/>
        <w:tblLook w:val="04A0" w:firstRow="1" w:lastRow="0" w:firstColumn="1" w:lastColumn="0" w:noHBand="0" w:noVBand="1"/>
      </w:tblPr>
      <w:tblGrid>
        <w:gridCol w:w="1980"/>
        <w:gridCol w:w="2506"/>
        <w:gridCol w:w="2455"/>
        <w:gridCol w:w="2032"/>
      </w:tblGrid>
      <w:tr w:rsidR="0056029B" w:rsidRPr="0056029B" w14:paraId="705AD6F9" w14:textId="77777777" w:rsidTr="0056029B">
        <w:trPr>
          <w:trHeight w:val="618"/>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6574AD2" w14:textId="6610E7DF" w:rsidR="0056029B" w:rsidRPr="00C32E76" w:rsidRDefault="00DD2421" w:rsidP="0056029B">
            <w:pPr>
              <w:spacing w:line="240" w:lineRule="auto"/>
              <w:ind w:firstLine="0"/>
              <w:jc w:val="center"/>
              <w:rPr>
                <w:b/>
                <w:bCs/>
                <w:sz w:val="18"/>
                <w:szCs w:val="18"/>
                <w:lang w:val="en-US"/>
              </w:rPr>
            </w:pPr>
            <w:r w:rsidRPr="00C32E76">
              <w:rPr>
                <w:b/>
                <w:bCs/>
                <w:sz w:val="18"/>
                <w:szCs w:val="18"/>
                <w:lang w:val="en-US"/>
              </w:rPr>
              <w:t>Quarter</w:t>
            </w:r>
          </w:p>
        </w:tc>
        <w:tc>
          <w:tcPr>
            <w:tcW w:w="2506" w:type="dxa"/>
            <w:tcBorders>
              <w:top w:val="single" w:sz="4" w:space="0" w:color="auto"/>
              <w:left w:val="single" w:sz="4" w:space="0" w:color="auto"/>
              <w:bottom w:val="single" w:sz="4" w:space="0" w:color="auto"/>
              <w:right w:val="single" w:sz="4" w:space="0" w:color="auto"/>
            </w:tcBorders>
            <w:vAlign w:val="center"/>
            <w:hideMark/>
          </w:tcPr>
          <w:p w14:paraId="1DDE339B" w14:textId="4958AA11" w:rsidR="0056029B" w:rsidRPr="00C32E76" w:rsidRDefault="0056029B" w:rsidP="0056029B">
            <w:pPr>
              <w:spacing w:line="240" w:lineRule="auto"/>
              <w:ind w:firstLine="0"/>
              <w:jc w:val="center"/>
              <w:rPr>
                <w:b/>
                <w:bCs/>
                <w:sz w:val="18"/>
                <w:szCs w:val="18"/>
                <w:lang w:val="en-US"/>
              </w:rPr>
            </w:pPr>
            <w:r w:rsidRPr="00C32E76">
              <w:rPr>
                <w:b/>
                <w:bCs/>
                <w:sz w:val="18"/>
                <w:szCs w:val="18"/>
                <w:lang w:val="en-US"/>
              </w:rPr>
              <w:t>Period</w:t>
            </w:r>
          </w:p>
        </w:tc>
        <w:tc>
          <w:tcPr>
            <w:tcW w:w="2455" w:type="dxa"/>
            <w:tcBorders>
              <w:top w:val="single" w:sz="4" w:space="0" w:color="auto"/>
              <w:left w:val="single" w:sz="4" w:space="0" w:color="auto"/>
              <w:bottom w:val="single" w:sz="4" w:space="0" w:color="auto"/>
              <w:right w:val="single" w:sz="4" w:space="0" w:color="auto"/>
            </w:tcBorders>
            <w:vAlign w:val="center"/>
            <w:hideMark/>
          </w:tcPr>
          <w:p w14:paraId="706E8890" w14:textId="2AFDF1A4" w:rsidR="0056029B" w:rsidRPr="00C32E76" w:rsidRDefault="00DD2421" w:rsidP="0056029B">
            <w:pPr>
              <w:spacing w:line="240" w:lineRule="auto"/>
              <w:ind w:firstLine="0"/>
              <w:jc w:val="center"/>
              <w:rPr>
                <w:b/>
                <w:bCs/>
                <w:sz w:val="18"/>
                <w:szCs w:val="18"/>
                <w:lang w:val="en-US"/>
              </w:rPr>
            </w:pPr>
            <w:r w:rsidRPr="00C32E76">
              <w:rPr>
                <w:b/>
                <w:bCs/>
                <w:sz w:val="18"/>
                <w:szCs w:val="18"/>
                <w:lang w:val="en-US"/>
              </w:rPr>
              <w:t>Declaration deadline</w:t>
            </w:r>
          </w:p>
        </w:tc>
        <w:tc>
          <w:tcPr>
            <w:tcW w:w="2032" w:type="dxa"/>
            <w:tcBorders>
              <w:top w:val="single" w:sz="4" w:space="0" w:color="auto"/>
              <w:left w:val="single" w:sz="4" w:space="0" w:color="auto"/>
              <w:bottom w:val="single" w:sz="4" w:space="0" w:color="auto"/>
              <w:right w:val="single" w:sz="4" w:space="0" w:color="auto"/>
            </w:tcBorders>
            <w:vAlign w:val="center"/>
            <w:hideMark/>
          </w:tcPr>
          <w:p w14:paraId="5B79F28C" w14:textId="3194CE2D" w:rsidR="0056029B" w:rsidRPr="00C32E76" w:rsidRDefault="00DD2421" w:rsidP="0056029B">
            <w:pPr>
              <w:spacing w:line="240" w:lineRule="auto"/>
              <w:ind w:firstLine="0"/>
              <w:jc w:val="center"/>
              <w:rPr>
                <w:b/>
                <w:bCs/>
                <w:sz w:val="18"/>
                <w:szCs w:val="18"/>
                <w:lang w:val="en-US"/>
              </w:rPr>
            </w:pPr>
            <w:r w:rsidRPr="00C32E76">
              <w:rPr>
                <w:b/>
                <w:bCs/>
                <w:sz w:val="18"/>
                <w:szCs w:val="18"/>
                <w:lang w:val="en-US"/>
              </w:rPr>
              <w:t>Form used</w:t>
            </w:r>
          </w:p>
        </w:tc>
      </w:tr>
      <w:tr w:rsidR="0056029B" w:rsidRPr="0056029B" w14:paraId="3E1942D0" w14:textId="77777777" w:rsidTr="0056029B">
        <w:trPr>
          <w:trHeight w:val="618"/>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7F600CC" w14:textId="60C6530E" w:rsidR="0056029B" w:rsidRPr="00C32E76" w:rsidRDefault="00DD2421" w:rsidP="0056029B">
            <w:pPr>
              <w:spacing w:line="240" w:lineRule="auto"/>
              <w:ind w:firstLine="0"/>
              <w:jc w:val="center"/>
              <w:rPr>
                <w:sz w:val="18"/>
                <w:szCs w:val="18"/>
                <w:lang w:val="en-US"/>
              </w:rPr>
            </w:pPr>
            <w:r w:rsidRPr="00C32E76">
              <w:rPr>
                <w:sz w:val="18"/>
                <w:szCs w:val="18"/>
                <w:lang w:val="en-US"/>
              </w:rPr>
              <w:t>Quarter</w:t>
            </w:r>
            <w:r w:rsidR="0056029B" w:rsidRPr="00C32E76">
              <w:rPr>
                <w:sz w:val="18"/>
                <w:szCs w:val="18"/>
                <w:lang w:val="en-US"/>
              </w:rPr>
              <w:t xml:space="preserve"> I</w:t>
            </w:r>
          </w:p>
        </w:tc>
        <w:tc>
          <w:tcPr>
            <w:tcW w:w="2506" w:type="dxa"/>
            <w:tcBorders>
              <w:top w:val="single" w:sz="4" w:space="0" w:color="auto"/>
              <w:left w:val="single" w:sz="4" w:space="0" w:color="auto"/>
              <w:bottom w:val="single" w:sz="4" w:space="0" w:color="auto"/>
              <w:right w:val="single" w:sz="4" w:space="0" w:color="auto"/>
            </w:tcBorders>
            <w:vAlign w:val="center"/>
            <w:hideMark/>
          </w:tcPr>
          <w:p w14:paraId="63897324" w14:textId="4D0C65F5" w:rsidR="0056029B" w:rsidRPr="00C32E76" w:rsidRDefault="00DD2421" w:rsidP="0056029B">
            <w:pPr>
              <w:spacing w:line="240" w:lineRule="auto"/>
              <w:ind w:firstLine="0"/>
              <w:jc w:val="center"/>
              <w:rPr>
                <w:sz w:val="18"/>
                <w:szCs w:val="18"/>
                <w:lang w:val="en-US"/>
              </w:rPr>
            </w:pPr>
            <w:r w:rsidRPr="00C32E76">
              <w:rPr>
                <w:sz w:val="18"/>
                <w:szCs w:val="18"/>
                <w:lang w:val="en-US"/>
              </w:rPr>
              <w:t>January - March</w:t>
            </w:r>
          </w:p>
        </w:tc>
        <w:tc>
          <w:tcPr>
            <w:tcW w:w="2455" w:type="dxa"/>
            <w:tcBorders>
              <w:top w:val="single" w:sz="4" w:space="0" w:color="auto"/>
              <w:left w:val="single" w:sz="4" w:space="0" w:color="auto"/>
              <w:bottom w:val="single" w:sz="4" w:space="0" w:color="auto"/>
              <w:right w:val="single" w:sz="4" w:space="0" w:color="auto"/>
            </w:tcBorders>
            <w:vAlign w:val="center"/>
            <w:hideMark/>
          </w:tcPr>
          <w:p w14:paraId="2B130E89" w14:textId="3E742FC2" w:rsidR="0056029B" w:rsidRPr="00C32E76" w:rsidRDefault="0056029B" w:rsidP="0056029B">
            <w:pPr>
              <w:spacing w:line="240" w:lineRule="auto"/>
              <w:ind w:firstLine="0"/>
              <w:jc w:val="center"/>
              <w:rPr>
                <w:sz w:val="18"/>
                <w:szCs w:val="18"/>
                <w:lang w:val="en-US"/>
              </w:rPr>
            </w:pPr>
            <w:r w:rsidRPr="00C32E76">
              <w:rPr>
                <w:sz w:val="18"/>
                <w:szCs w:val="18"/>
                <w:lang w:val="en-US"/>
              </w:rPr>
              <w:t>25 april 2023</w:t>
            </w:r>
          </w:p>
        </w:tc>
        <w:tc>
          <w:tcPr>
            <w:tcW w:w="2032" w:type="dxa"/>
            <w:tcBorders>
              <w:top w:val="single" w:sz="4" w:space="0" w:color="auto"/>
              <w:left w:val="single" w:sz="4" w:space="0" w:color="auto"/>
              <w:bottom w:val="single" w:sz="4" w:space="0" w:color="auto"/>
              <w:right w:val="single" w:sz="4" w:space="0" w:color="auto"/>
            </w:tcBorders>
            <w:vAlign w:val="center"/>
            <w:hideMark/>
          </w:tcPr>
          <w:p w14:paraId="15216B2C" w14:textId="1E69E500" w:rsidR="0056029B" w:rsidRPr="00C32E76" w:rsidRDefault="00DD2421" w:rsidP="0056029B">
            <w:pPr>
              <w:spacing w:line="240" w:lineRule="auto"/>
              <w:ind w:firstLine="0"/>
              <w:jc w:val="center"/>
              <w:rPr>
                <w:sz w:val="18"/>
                <w:szCs w:val="18"/>
                <w:lang w:val="en-US"/>
              </w:rPr>
            </w:pPr>
            <w:r w:rsidRPr="00C32E76">
              <w:rPr>
                <w:sz w:val="18"/>
                <w:szCs w:val="18"/>
                <w:lang w:val="en-US"/>
              </w:rPr>
              <w:t>Statement 100</w:t>
            </w:r>
          </w:p>
        </w:tc>
      </w:tr>
      <w:tr w:rsidR="0056029B" w:rsidRPr="0056029B" w14:paraId="11DDDCD8" w14:textId="77777777" w:rsidTr="0056029B">
        <w:trPr>
          <w:trHeight w:val="643"/>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A24F882" w14:textId="59FA565E" w:rsidR="0056029B" w:rsidRPr="00C32E76" w:rsidRDefault="00DD2421" w:rsidP="0056029B">
            <w:pPr>
              <w:spacing w:line="240" w:lineRule="auto"/>
              <w:ind w:firstLine="0"/>
              <w:jc w:val="center"/>
              <w:rPr>
                <w:sz w:val="18"/>
                <w:szCs w:val="18"/>
                <w:lang w:val="en-US"/>
              </w:rPr>
            </w:pPr>
            <w:r w:rsidRPr="00C32E76">
              <w:rPr>
                <w:sz w:val="18"/>
                <w:szCs w:val="18"/>
                <w:lang w:val="en-US"/>
              </w:rPr>
              <w:lastRenderedPageBreak/>
              <w:t>Quarter</w:t>
            </w:r>
            <w:r w:rsidR="0056029B" w:rsidRPr="00C32E76">
              <w:rPr>
                <w:sz w:val="18"/>
                <w:szCs w:val="18"/>
                <w:lang w:val="en-US"/>
              </w:rPr>
              <w:t xml:space="preserve"> II</w:t>
            </w:r>
          </w:p>
        </w:tc>
        <w:tc>
          <w:tcPr>
            <w:tcW w:w="2506" w:type="dxa"/>
            <w:tcBorders>
              <w:top w:val="single" w:sz="4" w:space="0" w:color="auto"/>
              <w:left w:val="single" w:sz="4" w:space="0" w:color="auto"/>
              <w:bottom w:val="single" w:sz="4" w:space="0" w:color="auto"/>
              <w:right w:val="single" w:sz="4" w:space="0" w:color="auto"/>
            </w:tcBorders>
            <w:vAlign w:val="center"/>
            <w:hideMark/>
          </w:tcPr>
          <w:p w14:paraId="275E6FFD" w14:textId="09A75774" w:rsidR="0056029B" w:rsidRPr="00C32E76" w:rsidRDefault="00DD2421" w:rsidP="0056029B">
            <w:pPr>
              <w:spacing w:line="240" w:lineRule="auto"/>
              <w:ind w:firstLine="0"/>
              <w:jc w:val="center"/>
              <w:rPr>
                <w:sz w:val="18"/>
                <w:szCs w:val="18"/>
                <w:lang w:val="en-US"/>
              </w:rPr>
            </w:pPr>
            <w:r w:rsidRPr="00C32E76">
              <w:rPr>
                <w:sz w:val="18"/>
                <w:szCs w:val="18"/>
                <w:lang w:val="en-US"/>
              </w:rPr>
              <w:t>April - June</w:t>
            </w:r>
          </w:p>
        </w:tc>
        <w:tc>
          <w:tcPr>
            <w:tcW w:w="2455" w:type="dxa"/>
            <w:tcBorders>
              <w:top w:val="single" w:sz="4" w:space="0" w:color="auto"/>
              <w:left w:val="single" w:sz="4" w:space="0" w:color="auto"/>
              <w:bottom w:val="single" w:sz="4" w:space="0" w:color="auto"/>
              <w:right w:val="single" w:sz="4" w:space="0" w:color="auto"/>
            </w:tcBorders>
            <w:vAlign w:val="center"/>
            <w:hideMark/>
          </w:tcPr>
          <w:p w14:paraId="6CFB11CD" w14:textId="44A97C47" w:rsidR="0056029B" w:rsidRPr="00C32E76" w:rsidRDefault="0056029B" w:rsidP="0056029B">
            <w:pPr>
              <w:spacing w:line="240" w:lineRule="auto"/>
              <w:ind w:firstLine="0"/>
              <w:jc w:val="center"/>
              <w:rPr>
                <w:sz w:val="18"/>
                <w:szCs w:val="18"/>
                <w:lang w:val="en-US"/>
              </w:rPr>
            </w:pPr>
            <w:r w:rsidRPr="00C32E76">
              <w:rPr>
                <w:sz w:val="18"/>
                <w:szCs w:val="18"/>
                <w:lang w:val="en-US"/>
              </w:rPr>
              <w:t xml:space="preserve">25 </w:t>
            </w:r>
            <w:r w:rsidR="00DD2421" w:rsidRPr="00C32E76">
              <w:rPr>
                <w:sz w:val="18"/>
                <w:szCs w:val="18"/>
                <w:lang w:val="en-US"/>
              </w:rPr>
              <w:t>july</w:t>
            </w:r>
            <w:r w:rsidRPr="00C32E76">
              <w:rPr>
                <w:sz w:val="18"/>
                <w:szCs w:val="18"/>
                <w:lang w:val="en-US"/>
              </w:rPr>
              <w:t xml:space="preserve"> 2023</w:t>
            </w:r>
          </w:p>
        </w:tc>
        <w:tc>
          <w:tcPr>
            <w:tcW w:w="2032" w:type="dxa"/>
            <w:tcBorders>
              <w:top w:val="single" w:sz="4" w:space="0" w:color="auto"/>
              <w:left w:val="single" w:sz="4" w:space="0" w:color="auto"/>
              <w:bottom w:val="single" w:sz="4" w:space="0" w:color="auto"/>
              <w:right w:val="single" w:sz="4" w:space="0" w:color="auto"/>
            </w:tcBorders>
            <w:vAlign w:val="center"/>
            <w:hideMark/>
          </w:tcPr>
          <w:p w14:paraId="76E6DDF4" w14:textId="11EE85E6" w:rsidR="0056029B" w:rsidRPr="00C32E76" w:rsidRDefault="00DD2421" w:rsidP="0056029B">
            <w:pPr>
              <w:spacing w:line="240" w:lineRule="auto"/>
              <w:ind w:firstLine="0"/>
              <w:jc w:val="center"/>
              <w:rPr>
                <w:sz w:val="18"/>
                <w:szCs w:val="18"/>
                <w:lang w:val="en-US"/>
              </w:rPr>
            </w:pPr>
            <w:r w:rsidRPr="00C32E76">
              <w:rPr>
                <w:sz w:val="18"/>
                <w:szCs w:val="18"/>
                <w:lang w:val="en-US"/>
              </w:rPr>
              <w:t>Statement 100</w:t>
            </w:r>
          </w:p>
        </w:tc>
      </w:tr>
      <w:tr w:rsidR="0056029B" w:rsidRPr="0056029B" w14:paraId="13248D9A" w14:textId="77777777" w:rsidTr="0056029B">
        <w:trPr>
          <w:trHeight w:val="618"/>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76E000C" w14:textId="704682FB" w:rsidR="0056029B" w:rsidRPr="00C32E76" w:rsidRDefault="00DD2421" w:rsidP="0056029B">
            <w:pPr>
              <w:spacing w:line="240" w:lineRule="auto"/>
              <w:ind w:firstLine="0"/>
              <w:jc w:val="center"/>
              <w:rPr>
                <w:sz w:val="18"/>
                <w:szCs w:val="18"/>
                <w:lang w:val="en-US"/>
              </w:rPr>
            </w:pPr>
            <w:r w:rsidRPr="00C32E76">
              <w:rPr>
                <w:sz w:val="18"/>
                <w:szCs w:val="18"/>
                <w:lang w:val="en-US"/>
              </w:rPr>
              <w:t>Quarter</w:t>
            </w:r>
            <w:r w:rsidR="0056029B" w:rsidRPr="00C32E76">
              <w:rPr>
                <w:sz w:val="18"/>
                <w:szCs w:val="18"/>
                <w:lang w:val="en-US"/>
              </w:rPr>
              <w:t xml:space="preserve"> III</w:t>
            </w:r>
          </w:p>
        </w:tc>
        <w:tc>
          <w:tcPr>
            <w:tcW w:w="2506" w:type="dxa"/>
            <w:tcBorders>
              <w:top w:val="single" w:sz="4" w:space="0" w:color="auto"/>
              <w:left w:val="single" w:sz="4" w:space="0" w:color="auto"/>
              <w:bottom w:val="single" w:sz="4" w:space="0" w:color="auto"/>
              <w:right w:val="single" w:sz="4" w:space="0" w:color="auto"/>
            </w:tcBorders>
            <w:vAlign w:val="center"/>
            <w:hideMark/>
          </w:tcPr>
          <w:p w14:paraId="22047AF8" w14:textId="660D8517" w:rsidR="0056029B" w:rsidRPr="00C32E76" w:rsidRDefault="00DD2421" w:rsidP="0056029B">
            <w:pPr>
              <w:spacing w:line="240" w:lineRule="auto"/>
              <w:ind w:firstLine="0"/>
              <w:jc w:val="center"/>
              <w:rPr>
                <w:sz w:val="18"/>
                <w:szCs w:val="18"/>
                <w:lang w:val="en-US"/>
              </w:rPr>
            </w:pPr>
            <w:r w:rsidRPr="00C32E76">
              <w:rPr>
                <w:sz w:val="18"/>
                <w:szCs w:val="18"/>
                <w:lang w:val="en-US"/>
              </w:rPr>
              <w:t>July - September</w:t>
            </w:r>
          </w:p>
        </w:tc>
        <w:tc>
          <w:tcPr>
            <w:tcW w:w="2455" w:type="dxa"/>
            <w:tcBorders>
              <w:top w:val="single" w:sz="4" w:space="0" w:color="auto"/>
              <w:left w:val="single" w:sz="4" w:space="0" w:color="auto"/>
              <w:bottom w:val="single" w:sz="4" w:space="0" w:color="auto"/>
              <w:right w:val="single" w:sz="4" w:space="0" w:color="auto"/>
            </w:tcBorders>
            <w:vAlign w:val="center"/>
            <w:hideMark/>
          </w:tcPr>
          <w:p w14:paraId="20EE2ED3" w14:textId="47F74F85" w:rsidR="0056029B" w:rsidRPr="00C32E76" w:rsidRDefault="0056029B" w:rsidP="0056029B">
            <w:pPr>
              <w:spacing w:line="240" w:lineRule="auto"/>
              <w:ind w:firstLine="0"/>
              <w:jc w:val="center"/>
              <w:rPr>
                <w:sz w:val="18"/>
                <w:szCs w:val="18"/>
                <w:lang w:val="en-US"/>
              </w:rPr>
            </w:pPr>
            <w:r w:rsidRPr="00C32E76">
              <w:rPr>
                <w:sz w:val="18"/>
                <w:szCs w:val="18"/>
                <w:lang w:val="en-US"/>
              </w:rPr>
              <w:t>25 octo</w:t>
            </w:r>
            <w:r w:rsidR="00DD2421" w:rsidRPr="00C32E76">
              <w:rPr>
                <w:sz w:val="18"/>
                <w:szCs w:val="18"/>
                <w:lang w:val="en-US"/>
              </w:rPr>
              <w:t>ber</w:t>
            </w:r>
            <w:r w:rsidRPr="00C32E76">
              <w:rPr>
                <w:sz w:val="18"/>
                <w:szCs w:val="18"/>
                <w:lang w:val="en-US"/>
              </w:rPr>
              <w:t xml:space="preserve"> 2023</w:t>
            </w:r>
          </w:p>
        </w:tc>
        <w:tc>
          <w:tcPr>
            <w:tcW w:w="2032" w:type="dxa"/>
            <w:tcBorders>
              <w:top w:val="single" w:sz="4" w:space="0" w:color="auto"/>
              <w:left w:val="single" w:sz="4" w:space="0" w:color="auto"/>
              <w:bottom w:val="single" w:sz="4" w:space="0" w:color="auto"/>
              <w:right w:val="single" w:sz="4" w:space="0" w:color="auto"/>
            </w:tcBorders>
            <w:vAlign w:val="center"/>
            <w:hideMark/>
          </w:tcPr>
          <w:p w14:paraId="6C870700" w14:textId="66A7D594" w:rsidR="0056029B" w:rsidRPr="00C32E76" w:rsidRDefault="00DD2421" w:rsidP="0056029B">
            <w:pPr>
              <w:spacing w:line="240" w:lineRule="auto"/>
              <w:ind w:firstLine="0"/>
              <w:jc w:val="center"/>
              <w:rPr>
                <w:sz w:val="18"/>
                <w:szCs w:val="18"/>
                <w:lang w:val="en-US"/>
              </w:rPr>
            </w:pPr>
            <w:r w:rsidRPr="00C32E76">
              <w:rPr>
                <w:sz w:val="18"/>
                <w:szCs w:val="18"/>
                <w:lang w:val="en-US"/>
              </w:rPr>
              <w:t>Statement 100</w:t>
            </w:r>
          </w:p>
        </w:tc>
      </w:tr>
      <w:tr w:rsidR="0056029B" w:rsidRPr="0056029B" w14:paraId="2DB917C4" w14:textId="77777777" w:rsidTr="0056029B">
        <w:trPr>
          <w:trHeight w:val="618"/>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C59177F" w14:textId="3998B140" w:rsidR="0056029B" w:rsidRPr="00C32E76" w:rsidRDefault="00DD2421" w:rsidP="0056029B">
            <w:pPr>
              <w:spacing w:line="240" w:lineRule="auto"/>
              <w:ind w:firstLine="0"/>
              <w:jc w:val="center"/>
              <w:rPr>
                <w:sz w:val="18"/>
                <w:szCs w:val="18"/>
                <w:lang w:val="en-US"/>
              </w:rPr>
            </w:pPr>
            <w:r w:rsidRPr="00C32E76">
              <w:rPr>
                <w:sz w:val="18"/>
                <w:szCs w:val="18"/>
                <w:lang w:val="en-US"/>
              </w:rPr>
              <w:t>Quarter</w:t>
            </w:r>
            <w:r w:rsidR="0056029B" w:rsidRPr="00C32E76">
              <w:rPr>
                <w:sz w:val="18"/>
                <w:szCs w:val="18"/>
                <w:lang w:val="en-US"/>
              </w:rPr>
              <w:t xml:space="preserve"> IV</w:t>
            </w:r>
          </w:p>
        </w:tc>
        <w:tc>
          <w:tcPr>
            <w:tcW w:w="2506" w:type="dxa"/>
            <w:tcBorders>
              <w:top w:val="single" w:sz="4" w:space="0" w:color="auto"/>
              <w:left w:val="single" w:sz="4" w:space="0" w:color="auto"/>
              <w:bottom w:val="single" w:sz="4" w:space="0" w:color="auto"/>
              <w:right w:val="single" w:sz="4" w:space="0" w:color="auto"/>
            </w:tcBorders>
            <w:vAlign w:val="center"/>
            <w:hideMark/>
          </w:tcPr>
          <w:p w14:paraId="00E75914" w14:textId="3A2976D2" w:rsidR="0056029B" w:rsidRPr="00C32E76" w:rsidRDefault="00DD2421" w:rsidP="0056029B">
            <w:pPr>
              <w:spacing w:line="240" w:lineRule="auto"/>
              <w:ind w:firstLine="0"/>
              <w:jc w:val="center"/>
              <w:rPr>
                <w:sz w:val="18"/>
                <w:szCs w:val="18"/>
                <w:lang w:val="en-US"/>
              </w:rPr>
            </w:pPr>
            <w:r w:rsidRPr="00C32E76">
              <w:rPr>
                <w:sz w:val="18"/>
                <w:szCs w:val="18"/>
                <w:lang w:val="en-US"/>
              </w:rPr>
              <w:t>October - December</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6510425" w14:textId="3D74819F" w:rsidR="0056029B" w:rsidRPr="00C32E76" w:rsidRDefault="0056029B" w:rsidP="0056029B">
            <w:pPr>
              <w:spacing w:line="240" w:lineRule="auto"/>
              <w:ind w:firstLine="0"/>
              <w:jc w:val="center"/>
              <w:rPr>
                <w:sz w:val="18"/>
                <w:szCs w:val="18"/>
                <w:lang w:val="en-US"/>
              </w:rPr>
            </w:pPr>
            <w:r w:rsidRPr="00C32E76">
              <w:rPr>
                <w:sz w:val="18"/>
                <w:szCs w:val="18"/>
                <w:lang w:val="en-US"/>
              </w:rPr>
              <w:t xml:space="preserve">25 </w:t>
            </w:r>
            <w:r w:rsidR="00BA0DDA" w:rsidRPr="00C32E76">
              <w:rPr>
                <w:sz w:val="18"/>
                <w:szCs w:val="18"/>
                <w:lang w:val="en-US"/>
              </w:rPr>
              <w:t xml:space="preserve">january </w:t>
            </w:r>
            <w:r w:rsidRPr="00C32E76">
              <w:rPr>
                <w:sz w:val="18"/>
                <w:szCs w:val="18"/>
                <w:lang w:val="en-US"/>
              </w:rPr>
              <w:t>2024</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D18DBE8" w14:textId="7D8727D5" w:rsidR="0056029B" w:rsidRPr="00C32E76" w:rsidRDefault="00DD2421" w:rsidP="0056029B">
            <w:pPr>
              <w:spacing w:line="240" w:lineRule="auto"/>
              <w:ind w:firstLine="0"/>
              <w:jc w:val="center"/>
              <w:rPr>
                <w:sz w:val="18"/>
                <w:szCs w:val="18"/>
                <w:lang w:val="en-US"/>
              </w:rPr>
            </w:pPr>
            <w:r w:rsidRPr="00C32E76">
              <w:rPr>
                <w:sz w:val="18"/>
                <w:szCs w:val="18"/>
                <w:lang w:val="en-US"/>
              </w:rPr>
              <w:t>Statement 100</w:t>
            </w:r>
          </w:p>
        </w:tc>
      </w:tr>
    </w:tbl>
    <w:p w14:paraId="72179946" w14:textId="6EE24FF3" w:rsidR="0056029B" w:rsidRDefault="00DD2421" w:rsidP="00DD2421">
      <w:pPr>
        <w:jc w:val="center"/>
        <w:rPr>
          <w:i/>
          <w:iCs/>
          <w:noProof/>
          <w:color w:val="44546A" w:themeColor="text2"/>
          <w:sz w:val="18"/>
          <w:szCs w:val="18"/>
          <w:lang w:val="ro-RO"/>
        </w:rPr>
      </w:pPr>
      <w:r w:rsidRPr="00DD2421">
        <w:rPr>
          <w:i/>
          <w:iCs/>
          <w:noProof/>
          <w:color w:val="44546A" w:themeColor="text2"/>
          <w:sz w:val="18"/>
          <w:szCs w:val="18"/>
          <w:lang w:val="ro-RO"/>
        </w:rPr>
        <w:t>Source: own processing</w:t>
      </w:r>
    </w:p>
    <w:p w14:paraId="64848404" w14:textId="77777777" w:rsidR="00DD2421" w:rsidRDefault="00DD2421" w:rsidP="005967B6">
      <w:pPr>
        <w:rPr>
          <w:i/>
          <w:iCs/>
          <w:noProof/>
          <w:color w:val="44546A" w:themeColor="text2"/>
          <w:sz w:val="18"/>
          <w:szCs w:val="18"/>
          <w:lang w:val="ro-RO"/>
        </w:rPr>
      </w:pPr>
    </w:p>
    <w:p w14:paraId="584EBBFC" w14:textId="272C53BD" w:rsidR="0056029B" w:rsidRDefault="00BA0DDA" w:rsidP="005967B6">
      <w:pPr>
        <w:rPr>
          <w:noProof/>
          <w:color w:val="000000" w:themeColor="text1"/>
        </w:rPr>
      </w:pPr>
      <w:r w:rsidRPr="00BA0DDA">
        <w:rPr>
          <w:noProof/>
          <w:color w:val="000000" w:themeColor="text1"/>
        </w:rPr>
        <w:t>The table illustrates the sequence of declaration and payment deadlines for fiscal year 2023, in the context of using Declaration 100. The information is organized quarterly, highlighting both the reporting period and the deadline for submitting the form.</w:t>
      </w:r>
    </w:p>
    <w:p w14:paraId="5FAC2BA0" w14:textId="77777777" w:rsidR="00BA0DDA" w:rsidRPr="0056029B" w:rsidRDefault="00BA0DDA" w:rsidP="005967B6">
      <w:pPr>
        <w:rPr>
          <w:noProof/>
          <w:color w:val="000000" w:themeColor="text1"/>
          <w:lang w:val="ro-RO"/>
        </w:rPr>
      </w:pPr>
    </w:p>
    <w:p w14:paraId="29AA13AA" w14:textId="37F9CC5C" w:rsidR="004E20B9" w:rsidRDefault="004E20B9" w:rsidP="007D07C5">
      <w:pPr>
        <w:pStyle w:val="Titlu2"/>
        <w:rPr>
          <w:lang w:val="ro-RO"/>
        </w:rPr>
      </w:pPr>
      <w:r w:rsidRPr="00901D18">
        <w:rPr>
          <w:lang w:val="ro-RO"/>
        </w:rPr>
        <w:t>Conclu</w:t>
      </w:r>
      <w:r w:rsidR="00BA0DDA">
        <w:rPr>
          <w:lang w:val="ro-RO"/>
        </w:rPr>
        <w:t>sion</w:t>
      </w:r>
    </w:p>
    <w:p w14:paraId="3D07E266" w14:textId="77777777" w:rsidR="00BA0DDA" w:rsidRPr="00C32E76" w:rsidRDefault="00BA0DDA" w:rsidP="00764873">
      <w:r w:rsidRPr="00C32E76">
        <w:t>The analysis presented is subject to methodological constraints that may influence the interpretation of the results. First, the four-year period analyzed is relatively short to highlight long-term trends or complete economic cycles, and it is possible that the variations identified reflect cyclical factors rather than structural transformations. Also, certain relevant macroeconomic factors, such as inflation, legislative changes or exchange rate volatility, which may have a significant impact on financial performance, especially in the unstable context of the period 2021–2023, are not taken into account.</w:t>
      </w:r>
    </w:p>
    <w:p w14:paraId="2AFA0A37" w14:textId="77777777" w:rsidR="00BA0DDA" w:rsidRPr="00C32E76" w:rsidRDefault="00BA0DDA" w:rsidP="0003623A">
      <w:r w:rsidRPr="00C32E76">
        <w:t>Another limitation is the lack of comparison with other companies in the same sector, which reduces the ability to assess the relative performance of the company. At the same time, the use of aggregated data prevents detailed analysis by activity segments or product categories, which limits the understanding of the exact sources of economic and financial developments.</w:t>
      </w:r>
    </w:p>
    <w:p w14:paraId="3BF2D388" w14:textId="77777777" w:rsidR="00BA0DDA" w:rsidRPr="00C32E76" w:rsidRDefault="00BA0DDA" w:rsidP="0003623A">
      <w:r w:rsidRPr="00C32E76">
        <w:t>The company has demonstrated a remarkable capacity to adapt to economic changes, clearly reflected in the significant recovery recorded in 2023. This recovery indicates the existence of efficient management and solid operational mechanisms, capable of promptly responding to challenges in the external environment. In the coming period, the main challenge will be to preserve the balance between activity growth and cost efficiency, while avoiding the repetition of the strategic errors of 2022. The experience gained during the adjustment period constitutes an important competitive advantage in the current economic context, characterized by instability and uncertainty.</w:t>
      </w:r>
    </w:p>
    <w:p w14:paraId="5187DFAF" w14:textId="626BA6E0" w:rsidR="0003623A" w:rsidRDefault="00BA0DDA" w:rsidP="0003623A">
      <w:pPr>
        <w:rPr>
          <w:lang w:val="ro-RO"/>
        </w:rPr>
      </w:pPr>
      <w:r w:rsidRPr="00C32E76">
        <w:t>In the medium term, the company has real chances for sustainable development, provided it maintains financial discipline and constantly adapts to market dynamics.</w:t>
      </w:r>
    </w:p>
    <w:p w14:paraId="7885FCC8" w14:textId="77777777" w:rsidR="0003623A" w:rsidRDefault="0003623A" w:rsidP="0003623A">
      <w:pPr>
        <w:rPr>
          <w:lang w:val="ro-RO"/>
        </w:rPr>
      </w:pPr>
    </w:p>
    <w:p w14:paraId="69ADCB1E" w14:textId="77777777" w:rsidR="0003623A" w:rsidRDefault="0003623A" w:rsidP="0003623A">
      <w:pPr>
        <w:rPr>
          <w:lang w:val="ro-RO"/>
        </w:rPr>
      </w:pPr>
    </w:p>
    <w:p w14:paraId="42D088B3" w14:textId="77777777" w:rsidR="0003623A" w:rsidRDefault="0003623A" w:rsidP="0003623A">
      <w:pPr>
        <w:rPr>
          <w:lang w:val="ro-RO"/>
        </w:rPr>
      </w:pPr>
    </w:p>
    <w:p w14:paraId="658275AD" w14:textId="77777777" w:rsidR="00F97CF2" w:rsidRDefault="00F97CF2" w:rsidP="0003623A">
      <w:pPr>
        <w:rPr>
          <w:lang w:val="ro-RO"/>
        </w:rPr>
      </w:pPr>
    </w:p>
    <w:p w14:paraId="0A83C4B0" w14:textId="77777777" w:rsidR="00F97CF2" w:rsidRDefault="00F97CF2" w:rsidP="0003623A">
      <w:pPr>
        <w:rPr>
          <w:lang w:val="ro-RO"/>
        </w:rPr>
      </w:pPr>
    </w:p>
    <w:p w14:paraId="0AF3178E" w14:textId="77777777" w:rsidR="00F97CF2" w:rsidRDefault="00F97CF2" w:rsidP="0003623A">
      <w:pPr>
        <w:rPr>
          <w:lang w:val="ro-RO"/>
        </w:rPr>
      </w:pPr>
    </w:p>
    <w:p w14:paraId="3981CC81" w14:textId="77777777" w:rsidR="00F97CF2" w:rsidRDefault="00F97CF2" w:rsidP="0003623A">
      <w:pPr>
        <w:rPr>
          <w:lang w:val="ro-RO"/>
        </w:rPr>
      </w:pPr>
    </w:p>
    <w:p w14:paraId="6BD2A5D1" w14:textId="77777777" w:rsidR="00F97CF2" w:rsidRDefault="00F97CF2" w:rsidP="0003623A">
      <w:pPr>
        <w:rPr>
          <w:lang w:val="ro-RO"/>
        </w:rPr>
      </w:pPr>
    </w:p>
    <w:p w14:paraId="7C459DDA" w14:textId="77777777" w:rsidR="00BA0DDA" w:rsidRDefault="00BA0DDA" w:rsidP="0003623A">
      <w:pPr>
        <w:rPr>
          <w:lang w:val="ro-RO"/>
        </w:rPr>
      </w:pPr>
    </w:p>
    <w:p w14:paraId="5B47CE94" w14:textId="77777777" w:rsidR="00BA0DDA" w:rsidRDefault="00BA0DDA" w:rsidP="0003623A">
      <w:pPr>
        <w:rPr>
          <w:lang w:val="ro-RO"/>
        </w:rPr>
      </w:pPr>
    </w:p>
    <w:p w14:paraId="0BF3A2C0" w14:textId="77777777" w:rsidR="00BA0DDA" w:rsidRDefault="00BA0DDA" w:rsidP="0003623A">
      <w:pPr>
        <w:rPr>
          <w:lang w:val="ro-RO"/>
        </w:rPr>
      </w:pPr>
    </w:p>
    <w:p w14:paraId="3F1AB417" w14:textId="77777777" w:rsidR="00BA0DDA" w:rsidRDefault="00BA0DDA" w:rsidP="0003623A">
      <w:pPr>
        <w:rPr>
          <w:lang w:val="ro-RO"/>
        </w:rPr>
      </w:pPr>
    </w:p>
    <w:p w14:paraId="3DCEF610" w14:textId="77777777" w:rsidR="0003623A" w:rsidRPr="0003623A" w:rsidRDefault="0003623A" w:rsidP="0056029B">
      <w:pPr>
        <w:ind w:firstLine="0"/>
        <w:rPr>
          <w:lang w:val="ro-RO"/>
        </w:rPr>
      </w:pPr>
    </w:p>
    <w:sdt>
      <w:sdtPr>
        <w:rPr>
          <w:rFonts w:eastAsiaTheme="minorHAnsi" w:cstheme="minorBidi"/>
          <w:b w:val="0"/>
          <w:sz w:val="22"/>
          <w:szCs w:val="22"/>
          <w:lang w:val="ro-RO"/>
        </w:rPr>
        <w:id w:val="286870043"/>
        <w:docPartObj>
          <w:docPartGallery w:val="Bibliographies"/>
          <w:docPartUnique/>
        </w:docPartObj>
      </w:sdtPr>
      <w:sdtContent>
        <w:p w14:paraId="1022D364" w14:textId="77777777" w:rsidR="0077784E" w:rsidRPr="00901D18" w:rsidRDefault="0077784E" w:rsidP="0077784E">
          <w:pPr>
            <w:pStyle w:val="Titlu2"/>
            <w:rPr>
              <w:lang w:val="ro-RO"/>
            </w:rPr>
          </w:pPr>
          <w:r w:rsidRPr="00901D18">
            <w:rPr>
              <w:lang w:val="ro-RO"/>
            </w:rPr>
            <w:t>Bibliografie</w:t>
          </w:r>
        </w:p>
        <w:sdt>
          <w:sdtPr>
            <w:rPr>
              <w:lang w:val="ro-RO"/>
            </w:rPr>
            <w:id w:val="111145805"/>
            <w:bibliography/>
          </w:sdtPr>
          <w:sdtContent>
            <w:p w14:paraId="362BBF0A" w14:textId="77777777" w:rsidR="00196DF2" w:rsidRDefault="0077784E" w:rsidP="00196DF2">
              <w:pPr>
                <w:ind w:firstLine="0"/>
                <w:rPr>
                  <w:rFonts w:asciiTheme="minorHAnsi" w:hAnsiTheme="minorHAnsi"/>
                  <w:noProof/>
                </w:rPr>
              </w:pPr>
              <w:r w:rsidRPr="00901D18">
                <w:rPr>
                  <w:lang w:val="ro-RO"/>
                </w:rPr>
                <w:fldChar w:fldCharType="begin"/>
              </w:r>
              <w:r w:rsidRPr="00901D18">
                <w:rPr>
                  <w:lang w:val="ro-RO"/>
                </w:rPr>
                <w:instrText>BIBLIOGRAPHY</w:instrText>
              </w:r>
              <w:r w:rsidRPr="00901D18">
                <w:rPr>
                  <w:lang w:val="ro-RO"/>
                </w:rPr>
                <w:fldChar w:fldCharType="separate"/>
              </w:r>
            </w:p>
            <w:tbl>
              <w:tblPr>
                <w:tblW w:w="5041"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131"/>
                <w:gridCol w:w="49"/>
                <w:gridCol w:w="8646"/>
              </w:tblGrid>
              <w:tr w:rsidR="00196DF2" w14:paraId="7389A85E" w14:textId="77777777" w:rsidTr="00196DF2">
                <w:trPr>
                  <w:divId w:val="165019914"/>
                  <w:tblCellSpacing w:w="15" w:type="dxa"/>
                </w:trPr>
                <w:tc>
                  <w:tcPr>
                    <w:tcW w:w="564" w:type="pct"/>
                    <w:gridSpan w:val="2"/>
                    <w:hideMark/>
                  </w:tcPr>
                  <w:p w14:paraId="709D7F06" w14:textId="7EF5C8F8" w:rsidR="00196DF2" w:rsidRDefault="00196DF2">
                    <w:pPr>
                      <w:pStyle w:val="Bibliografie"/>
                      <w:rPr>
                        <w:noProof/>
                        <w:sz w:val="24"/>
                        <w:szCs w:val="24"/>
                      </w:rPr>
                    </w:pPr>
                    <w:r>
                      <w:rPr>
                        <w:noProof/>
                      </w:rPr>
                      <w:t xml:space="preserve">[1] </w:t>
                    </w:r>
                  </w:p>
                </w:tc>
                <w:tc>
                  <w:tcPr>
                    <w:tcW w:w="4390" w:type="pct"/>
                    <w:hideMark/>
                  </w:tcPr>
                  <w:p w14:paraId="2F64DAD4" w14:textId="77777777" w:rsidR="00196DF2" w:rsidRPr="00196DF2" w:rsidRDefault="00196DF2" w:rsidP="00427A09">
                    <w:pPr>
                      <w:ind w:firstLine="0"/>
                      <w:rPr>
                        <w:noProof/>
                        <w:lang w:val="ro-RO"/>
                      </w:rPr>
                    </w:pPr>
                    <w:r w:rsidRPr="00196DF2">
                      <w:rPr>
                        <w:noProof/>
                        <w:lang w:val="ro-RO"/>
                      </w:rPr>
                      <w:t>Lucut Capras, I., Achim, M. V., &amp; Mara, E. R. (2024). Is tax avoidance one of the purposes of financial data manipulation? The case of Romania. The Journal of Risk Finance, 25(4), 588-601.</w:t>
                    </w:r>
                  </w:p>
                  <w:p w14:paraId="651F0EDA" w14:textId="77777777" w:rsidR="00196DF2" w:rsidRDefault="00196DF2">
                    <w:pPr>
                      <w:rPr>
                        <w:noProof/>
                      </w:rPr>
                    </w:pPr>
                  </w:p>
                </w:tc>
              </w:tr>
              <w:tr w:rsidR="00196DF2" w14:paraId="18770EE0" w14:textId="77777777" w:rsidTr="00196DF2">
                <w:trPr>
                  <w:divId w:val="165019914"/>
                  <w:tblCellSpacing w:w="15" w:type="dxa"/>
                </w:trPr>
                <w:tc>
                  <w:tcPr>
                    <w:tcW w:w="564" w:type="pct"/>
                    <w:gridSpan w:val="2"/>
                    <w:hideMark/>
                  </w:tcPr>
                  <w:p w14:paraId="030D22ED" w14:textId="77777777" w:rsidR="00196DF2" w:rsidRDefault="00196DF2">
                    <w:pPr>
                      <w:pStyle w:val="Bibliografie"/>
                      <w:rPr>
                        <w:rFonts w:eastAsiaTheme="minorEastAsia"/>
                        <w:noProof/>
                        <w:sz w:val="24"/>
                        <w:szCs w:val="24"/>
                      </w:rPr>
                    </w:pPr>
                    <w:r>
                      <w:rPr>
                        <w:noProof/>
                      </w:rPr>
                      <w:t xml:space="preserve">[2] </w:t>
                    </w:r>
                  </w:p>
                </w:tc>
                <w:tc>
                  <w:tcPr>
                    <w:tcW w:w="4390" w:type="pct"/>
                    <w:hideMark/>
                  </w:tcPr>
                  <w:p w14:paraId="2A018C7B" w14:textId="61D78DB9" w:rsidR="00196DF2" w:rsidRDefault="00196DF2" w:rsidP="00427A09">
                    <w:pPr>
                      <w:ind w:firstLine="0"/>
                      <w:rPr>
                        <w:noProof/>
                      </w:rPr>
                    </w:pPr>
                    <w:r w:rsidRPr="00196DF2">
                      <w:rPr>
                        <w:noProof/>
                        <w:lang w:val="ro-RO"/>
                      </w:rPr>
                      <w:t xml:space="preserve">Popa, F. A., Păunescu, M., Ciobanu, R. (2025). </w:t>
                    </w:r>
                    <w:r w:rsidR="00BA0DDA">
                      <w:rPr>
                        <w:i/>
                        <w:iCs/>
                        <w:noProof/>
                        <w:lang w:val="ro-RO"/>
                      </w:rPr>
                      <w:t>Taxation</w:t>
                    </w:r>
                    <w:r w:rsidRPr="00196DF2">
                      <w:rPr>
                        <w:noProof/>
                        <w:lang w:val="ro-RO"/>
                      </w:rPr>
                      <w:t>, CECCAR</w:t>
                    </w:r>
                    <w:r w:rsidR="00BA0DDA">
                      <w:rPr>
                        <w:noProof/>
                        <w:lang w:val="ro-RO"/>
                      </w:rPr>
                      <w:t xml:space="preserve"> Publishing House</w:t>
                    </w:r>
                    <w:r w:rsidRPr="00196DF2">
                      <w:rPr>
                        <w:noProof/>
                        <w:lang w:val="ro-RO"/>
                      </w:rPr>
                      <w:t>, București.</w:t>
                    </w:r>
                  </w:p>
                </w:tc>
              </w:tr>
              <w:tr w:rsidR="00196DF2" w14:paraId="4CC6140D" w14:textId="77777777" w:rsidTr="00196DF2">
                <w:trPr>
                  <w:divId w:val="165019914"/>
                  <w:trHeight w:val="570"/>
                  <w:tblCellSpacing w:w="15" w:type="dxa"/>
                </w:trPr>
                <w:tc>
                  <w:tcPr>
                    <w:tcW w:w="554" w:type="pct"/>
                    <w:hideMark/>
                  </w:tcPr>
                  <w:p w14:paraId="2A8256BB" w14:textId="77777777" w:rsidR="00196DF2" w:rsidRDefault="00196DF2">
                    <w:pPr>
                      <w:pStyle w:val="Bibliografie"/>
                      <w:rPr>
                        <w:rFonts w:eastAsiaTheme="minorEastAsia"/>
                        <w:noProof/>
                        <w:sz w:val="24"/>
                        <w:szCs w:val="24"/>
                      </w:rPr>
                    </w:pPr>
                    <w:r>
                      <w:rPr>
                        <w:noProof/>
                      </w:rPr>
                      <w:t xml:space="preserve">[3] </w:t>
                    </w:r>
                  </w:p>
                </w:tc>
                <w:tc>
                  <w:tcPr>
                    <w:tcW w:w="4400" w:type="pct"/>
                    <w:gridSpan w:val="2"/>
                    <w:hideMark/>
                  </w:tcPr>
                  <w:p w14:paraId="654615FA" w14:textId="60559D75" w:rsidR="00196DF2" w:rsidRPr="00196DF2" w:rsidRDefault="00196DF2" w:rsidP="00427A09">
                    <w:pPr>
                      <w:pStyle w:val="Bibliografie"/>
                      <w:ind w:firstLine="0"/>
                      <w:rPr>
                        <w:i/>
                        <w:iCs/>
                        <w:noProof/>
                      </w:rPr>
                    </w:pPr>
                    <w:r w:rsidRPr="00196DF2">
                      <w:rPr>
                        <w:noProof/>
                      </w:rPr>
                      <w:t xml:space="preserve">Masca, S., G., &amp; Vintan, R. A. (2024). </w:t>
                    </w:r>
                    <w:r w:rsidR="00BA0DDA">
                      <w:rPr>
                        <w:noProof/>
                      </w:rPr>
                      <w:t>Tax compliance and non-compliance</w:t>
                    </w:r>
                    <w:r w:rsidRPr="00196DF2">
                      <w:rPr>
                        <w:noProof/>
                      </w:rPr>
                      <w:t xml:space="preserve">. </w:t>
                    </w:r>
                    <w:r w:rsidR="00BA0DDA">
                      <w:rPr>
                        <w:noProof/>
                      </w:rPr>
                      <w:t>Case study</w:t>
                    </w:r>
                    <w:r w:rsidRPr="00196DF2">
                      <w:rPr>
                        <w:noProof/>
                      </w:rPr>
                      <w:t xml:space="preserve">: Romnia. </w:t>
                    </w:r>
                    <w:r w:rsidR="00BA0DDA">
                      <w:rPr>
                        <w:i/>
                        <w:iCs/>
                        <w:noProof/>
                      </w:rPr>
                      <w:t>Case study</w:t>
                    </w:r>
                    <w:r w:rsidRPr="00196DF2">
                      <w:rPr>
                        <w:i/>
                        <w:iCs/>
                        <w:noProof/>
                      </w:rPr>
                      <w:t>: Rom</w:t>
                    </w:r>
                    <w:r w:rsidR="00BA0DDA">
                      <w:rPr>
                        <w:i/>
                        <w:iCs/>
                        <w:noProof/>
                      </w:rPr>
                      <w:t>a</w:t>
                    </w:r>
                    <w:r w:rsidRPr="00196DF2">
                      <w:rPr>
                        <w:i/>
                        <w:iCs/>
                        <w:noProof/>
                      </w:rPr>
                      <w:t>nia</w:t>
                    </w:r>
                    <w:r w:rsidRPr="00196DF2">
                      <w:rPr>
                        <w:noProof/>
                      </w:rPr>
                      <w:t xml:space="preserve"> (June 01, 2024)</w:t>
                    </w:r>
                    <w:r>
                      <w:rPr>
                        <w:noProof/>
                      </w:rPr>
                      <w:t>.</w:t>
                    </w:r>
                  </w:p>
                </w:tc>
              </w:tr>
            </w:tbl>
            <w:p w14:paraId="57F5C5E3" w14:textId="20319EF7" w:rsidR="00196DF2" w:rsidRPr="00196DF2" w:rsidRDefault="00196DF2" w:rsidP="00196DF2">
              <w:pPr>
                <w:divId w:val="165019914"/>
                <w:rPr>
                  <w:rFonts w:eastAsia="Times New Roman"/>
                  <w:noProof/>
                </w:rPr>
              </w:pPr>
              <w:r>
                <w:rPr>
                  <w:rFonts w:eastAsia="Times New Roman"/>
                  <w:noProof/>
                </w:rPr>
                <w:t xml:space="preserve">[4] </w:t>
              </w:r>
              <w:r w:rsidRPr="00196DF2">
                <w:rPr>
                  <w:rFonts w:eastAsia="Times New Roman"/>
                  <w:noProof/>
                </w:rPr>
                <w:t>L</w:t>
              </w:r>
              <w:r w:rsidR="00BA0DDA">
                <w:rPr>
                  <w:rFonts w:eastAsia="Times New Roman"/>
                  <w:noProof/>
                </w:rPr>
                <w:t>aw</w:t>
              </w:r>
              <w:r w:rsidRPr="00196DF2">
                <w:rPr>
                  <w:rFonts w:eastAsia="Times New Roman"/>
                  <w:noProof/>
                </w:rPr>
                <w:t xml:space="preserve"> </w:t>
              </w:r>
              <w:r w:rsidR="00BA0DDA">
                <w:rPr>
                  <w:rFonts w:eastAsia="Times New Roman"/>
                  <w:noProof/>
                </w:rPr>
                <w:t>No</w:t>
              </w:r>
              <w:r w:rsidRPr="00196DF2">
                <w:rPr>
                  <w:rFonts w:eastAsia="Times New Roman"/>
                  <w:noProof/>
                </w:rPr>
                <w:t xml:space="preserve">. 227/2015 </w:t>
              </w:r>
              <w:r w:rsidR="00BA0DDA">
                <w:rPr>
                  <w:rFonts w:eastAsia="Times New Roman"/>
                  <w:noProof/>
                </w:rPr>
                <w:t>on the updated Fiscal Code</w:t>
              </w:r>
              <w:r w:rsidRPr="00196DF2">
                <w:rPr>
                  <w:rFonts w:eastAsia="Times New Roman"/>
                  <w:noProof/>
                </w:rPr>
                <w:t xml:space="preserve">. </w:t>
              </w:r>
            </w:p>
            <w:p w14:paraId="65FC16B4" w14:textId="0AB583B0" w:rsidR="00196DF2" w:rsidRDefault="00196DF2">
              <w:pPr>
                <w:divId w:val="165019914"/>
                <w:rPr>
                  <w:rFonts w:eastAsia="Times New Roman"/>
                  <w:noProof/>
                </w:rPr>
              </w:pPr>
            </w:p>
            <w:p w14:paraId="2C986E4C" w14:textId="16B961B1" w:rsidR="0077784E" w:rsidRPr="00196DF2" w:rsidRDefault="0077784E" w:rsidP="00196DF2">
              <w:pPr>
                <w:ind w:firstLine="0"/>
                <w:rPr>
                  <w:lang w:val="ro-RO"/>
                </w:rPr>
              </w:pPr>
              <w:r w:rsidRPr="00901D18">
                <w:rPr>
                  <w:b/>
                  <w:bCs/>
                  <w:lang w:val="ro-RO"/>
                </w:rPr>
                <w:fldChar w:fldCharType="end"/>
              </w:r>
            </w:p>
          </w:sdtContent>
        </w:sdt>
      </w:sdtContent>
    </w:sdt>
    <w:p w14:paraId="661513A1" w14:textId="3B93E7C8" w:rsidR="00EA0117" w:rsidRPr="00901D18" w:rsidRDefault="00EA0117">
      <w:pPr>
        <w:rPr>
          <w:lang w:val="ro-RO"/>
        </w:rPr>
      </w:pPr>
    </w:p>
    <w:sectPr w:rsidR="00EA0117" w:rsidRPr="00901D18"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9AB8B" w14:textId="77777777" w:rsidR="00BA2F5F" w:rsidRDefault="00BA2F5F" w:rsidP="00E3005B">
      <w:pPr>
        <w:spacing w:line="240" w:lineRule="auto"/>
      </w:pPr>
      <w:r>
        <w:separator/>
      </w:r>
    </w:p>
  </w:endnote>
  <w:endnote w:type="continuationSeparator" w:id="0">
    <w:p w14:paraId="52747EAB" w14:textId="77777777" w:rsidR="00BA2F5F" w:rsidRDefault="00BA2F5F"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Subsol"/>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093031"/>
      <w:docPartObj>
        <w:docPartGallery w:val="Page Numbers (Bottom of Page)"/>
        <w:docPartUnique/>
      </w:docPartObj>
    </w:sdtPr>
    <w:sdtContent>
      <w:p w14:paraId="1FCDDCFE" w14:textId="77777777" w:rsidR="00A7719D" w:rsidRDefault="003251D9" w:rsidP="00690F07">
        <w:pPr>
          <w:pStyle w:val="Subsol"/>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67BF" w14:textId="77777777" w:rsidR="00F2164A" w:rsidRPr="00D12067" w:rsidRDefault="00547FE8" w:rsidP="00EF5800">
    <w:pPr>
      <w:pStyle w:val="Subsol"/>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Subsol"/>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EF857" w14:textId="77777777" w:rsidR="00BA2F5F" w:rsidRDefault="00BA2F5F" w:rsidP="00E3005B">
      <w:pPr>
        <w:spacing w:line="240" w:lineRule="auto"/>
      </w:pPr>
      <w:r>
        <w:separator/>
      </w:r>
    </w:p>
  </w:footnote>
  <w:footnote w:type="continuationSeparator" w:id="0">
    <w:p w14:paraId="7AC6946C" w14:textId="77777777" w:rsidR="00BA2F5F" w:rsidRDefault="00BA2F5F"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Antet"/>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Antet"/>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1A3E78E7" w:rsidR="003E70DA" w:rsidRPr="001373E7" w:rsidRDefault="003E70DA" w:rsidP="00690F07">
          <w:pPr>
            <w:pStyle w:val="Antet"/>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Antet"/>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Antet"/>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Antet"/>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Antet"/>
      <w:ind w:firstLine="0"/>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64550"/>
    <w:multiLevelType w:val="hybridMultilevel"/>
    <w:tmpl w:val="D0CCD9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8335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3623A"/>
    <w:rsid w:val="0005466B"/>
    <w:rsid w:val="00072AF1"/>
    <w:rsid w:val="00082B80"/>
    <w:rsid w:val="00083F16"/>
    <w:rsid w:val="00087E69"/>
    <w:rsid w:val="0009417E"/>
    <w:rsid w:val="000A4862"/>
    <w:rsid w:val="000D5B03"/>
    <w:rsid w:val="000E549E"/>
    <w:rsid w:val="001231A3"/>
    <w:rsid w:val="0013288B"/>
    <w:rsid w:val="001373E7"/>
    <w:rsid w:val="00145116"/>
    <w:rsid w:val="001601CA"/>
    <w:rsid w:val="001628EF"/>
    <w:rsid w:val="001634DD"/>
    <w:rsid w:val="00173F8A"/>
    <w:rsid w:val="00175417"/>
    <w:rsid w:val="0018611C"/>
    <w:rsid w:val="00196DF2"/>
    <w:rsid w:val="001B0FF9"/>
    <w:rsid w:val="002019AE"/>
    <w:rsid w:val="00212BC6"/>
    <w:rsid w:val="0025463F"/>
    <w:rsid w:val="0026342C"/>
    <w:rsid w:val="00267418"/>
    <w:rsid w:val="00280BC7"/>
    <w:rsid w:val="00296BF5"/>
    <w:rsid w:val="002C7CCC"/>
    <w:rsid w:val="002E2CFF"/>
    <w:rsid w:val="00305B8E"/>
    <w:rsid w:val="003251D9"/>
    <w:rsid w:val="0033540B"/>
    <w:rsid w:val="0034162B"/>
    <w:rsid w:val="00347FBC"/>
    <w:rsid w:val="00370577"/>
    <w:rsid w:val="003A08DB"/>
    <w:rsid w:val="003A2130"/>
    <w:rsid w:val="003B2346"/>
    <w:rsid w:val="003D50DE"/>
    <w:rsid w:val="003D7B5E"/>
    <w:rsid w:val="003E70DA"/>
    <w:rsid w:val="0041428B"/>
    <w:rsid w:val="00415973"/>
    <w:rsid w:val="00426725"/>
    <w:rsid w:val="00427A09"/>
    <w:rsid w:val="00440162"/>
    <w:rsid w:val="00451421"/>
    <w:rsid w:val="0045384A"/>
    <w:rsid w:val="00471634"/>
    <w:rsid w:val="00473985"/>
    <w:rsid w:val="00482716"/>
    <w:rsid w:val="004E20B9"/>
    <w:rsid w:val="004E7F40"/>
    <w:rsid w:val="004F75D3"/>
    <w:rsid w:val="00500377"/>
    <w:rsid w:val="00525183"/>
    <w:rsid w:val="00530E8B"/>
    <w:rsid w:val="00541C69"/>
    <w:rsid w:val="00547FE8"/>
    <w:rsid w:val="00555663"/>
    <w:rsid w:val="0056029B"/>
    <w:rsid w:val="0056400F"/>
    <w:rsid w:val="00566D68"/>
    <w:rsid w:val="005827D2"/>
    <w:rsid w:val="005967B6"/>
    <w:rsid w:val="005A232C"/>
    <w:rsid w:val="005F0A08"/>
    <w:rsid w:val="006356E8"/>
    <w:rsid w:val="00645718"/>
    <w:rsid w:val="00681EA4"/>
    <w:rsid w:val="00690F07"/>
    <w:rsid w:val="006B5AAC"/>
    <w:rsid w:val="006C61F1"/>
    <w:rsid w:val="00705841"/>
    <w:rsid w:val="00714357"/>
    <w:rsid w:val="00727358"/>
    <w:rsid w:val="00764873"/>
    <w:rsid w:val="0077784E"/>
    <w:rsid w:val="007913EA"/>
    <w:rsid w:val="007A3745"/>
    <w:rsid w:val="007A3A66"/>
    <w:rsid w:val="007A4E26"/>
    <w:rsid w:val="007A6061"/>
    <w:rsid w:val="007C58EF"/>
    <w:rsid w:val="007D07C5"/>
    <w:rsid w:val="007E5D88"/>
    <w:rsid w:val="007F1012"/>
    <w:rsid w:val="007F4540"/>
    <w:rsid w:val="008368C2"/>
    <w:rsid w:val="008570BB"/>
    <w:rsid w:val="008C7AFF"/>
    <w:rsid w:val="00901D18"/>
    <w:rsid w:val="00910BA6"/>
    <w:rsid w:val="0091111E"/>
    <w:rsid w:val="0095682F"/>
    <w:rsid w:val="009B4C26"/>
    <w:rsid w:val="009C170F"/>
    <w:rsid w:val="009D3C73"/>
    <w:rsid w:val="009D6A98"/>
    <w:rsid w:val="00A05D76"/>
    <w:rsid w:val="00A168E2"/>
    <w:rsid w:val="00A41836"/>
    <w:rsid w:val="00A574E8"/>
    <w:rsid w:val="00A64FAE"/>
    <w:rsid w:val="00A7719D"/>
    <w:rsid w:val="00A80562"/>
    <w:rsid w:val="00AB559B"/>
    <w:rsid w:val="00AB74A0"/>
    <w:rsid w:val="00B53C41"/>
    <w:rsid w:val="00B639D0"/>
    <w:rsid w:val="00B76744"/>
    <w:rsid w:val="00B93BFA"/>
    <w:rsid w:val="00BA0DDA"/>
    <w:rsid w:val="00BA2F5F"/>
    <w:rsid w:val="00BC259D"/>
    <w:rsid w:val="00BE19BF"/>
    <w:rsid w:val="00C05502"/>
    <w:rsid w:val="00C11663"/>
    <w:rsid w:val="00C14AB0"/>
    <w:rsid w:val="00C2460D"/>
    <w:rsid w:val="00C32E76"/>
    <w:rsid w:val="00C63407"/>
    <w:rsid w:val="00C65A11"/>
    <w:rsid w:val="00C70272"/>
    <w:rsid w:val="00C80577"/>
    <w:rsid w:val="00C94015"/>
    <w:rsid w:val="00CA7C0A"/>
    <w:rsid w:val="00CB2A86"/>
    <w:rsid w:val="00CD04D9"/>
    <w:rsid w:val="00CE2B2F"/>
    <w:rsid w:val="00CE39D1"/>
    <w:rsid w:val="00D0020D"/>
    <w:rsid w:val="00D12067"/>
    <w:rsid w:val="00D1521B"/>
    <w:rsid w:val="00D17B18"/>
    <w:rsid w:val="00D50F3F"/>
    <w:rsid w:val="00D52D3A"/>
    <w:rsid w:val="00D84EB7"/>
    <w:rsid w:val="00D9537B"/>
    <w:rsid w:val="00DB236B"/>
    <w:rsid w:val="00DD0EC3"/>
    <w:rsid w:val="00DD2421"/>
    <w:rsid w:val="00E22573"/>
    <w:rsid w:val="00E3005B"/>
    <w:rsid w:val="00E4644F"/>
    <w:rsid w:val="00E6787B"/>
    <w:rsid w:val="00E80A3D"/>
    <w:rsid w:val="00E858E2"/>
    <w:rsid w:val="00EA0117"/>
    <w:rsid w:val="00EA2341"/>
    <w:rsid w:val="00EB264C"/>
    <w:rsid w:val="00EC6E85"/>
    <w:rsid w:val="00EF5800"/>
    <w:rsid w:val="00F02433"/>
    <w:rsid w:val="00F14370"/>
    <w:rsid w:val="00F2164A"/>
    <w:rsid w:val="00F24134"/>
    <w:rsid w:val="00F56834"/>
    <w:rsid w:val="00F64D50"/>
    <w:rsid w:val="00F86B98"/>
    <w:rsid w:val="00F95B6B"/>
    <w:rsid w:val="00F97CF2"/>
    <w:rsid w:val="00FA3573"/>
    <w:rsid w:val="00FB2524"/>
    <w:rsid w:val="00FC3C21"/>
    <w:rsid w:val="00FD62F6"/>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F2"/>
    <w:pPr>
      <w:spacing w:after="0" w:line="300" w:lineRule="auto"/>
      <w:ind w:firstLine="720"/>
      <w:jc w:val="both"/>
    </w:pPr>
    <w:rPr>
      <w:rFonts w:ascii="Georgia Pro" w:hAnsi="Georgia Pro"/>
    </w:rPr>
  </w:style>
  <w:style w:type="paragraph" w:styleId="Titlu1">
    <w:name w:val="heading 1"/>
    <w:basedOn w:val="Normal"/>
    <w:next w:val="Normal"/>
    <w:link w:val="Titlu1Caracte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Titlu2">
    <w:name w:val="heading 2"/>
    <w:basedOn w:val="Normal"/>
    <w:next w:val="Normal"/>
    <w:link w:val="Titlu2Caracte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Titlu3">
    <w:name w:val="heading 3"/>
    <w:basedOn w:val="Normal"/>
    <w:next w:val="Normal"/>
    <w:link w:val="Titlu3Caracte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6787B"/>
    <w:rPr>
      <w:rFonts w:ascii="Georgia Pro Black" w:eastAsiaTheme="majorEastAsia" w:hAnsi="Georgia Pro Black" w:cstheme="majorBidi"/>
      <w:b/>
      <w:sz w:val="32"/>
      <w:szCs w:val="32"/>
    </w:rPr>
  </w:style>
  <w:style w:type="character" w:customStyle="1" w:styleId="Titlu2Caracter">
    <w:name w:val="Titlu 2 Caracter"/>
    <w:basedOn w:val="Fontdeparagrafimplicit"/>
    <w:link w:val="Titlu2"/>
    <w:uiPriority w:val="9"/>
    <w:rsid w:val="007D07C5"/>
    <w:rPr>
      <w:rFonts w:ascii="Georgia Pro" w:eastAsiaTheme="majorEastAsia" w:hAnsi="Georgia Pro" w:cstheme="majorBidi"/>
      <w:b/>
      <w:sz w:val="26"/>
      <w:szCs w:val="26"/>
    </w:rPr>
  </w:style>
  <w:style w:type="paragraph" w:styleId="Textnotdesubsol">
    <w:name w:val="footnote text"/>
    <w:basedOn w:val="Normal"/>
    <w:link w:val="TextnotdesubsolCaracter"/>
    <w:uiPriority w:val="99"/>
    <w:semiHidden/>
    <w:unhideWhenUsed/>
    <w:rsid w:val="00E3005B"/>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3005B"/>
    <w:rPr>
      <w:rFonts w:ascii="Georgia Pro" w:hAnsi="Georgia Pro"/>
      <w:sz w:val="20"/>
      <w:szCs w:val="20"/>
    </w:rPr>
  </w:style>
  <w:style w:type="character" w:styleId="Referinnotdesubsol">
    <w:name w:val="footnote reference"/>
    <w:basedOn w:val="Fontdeparagrafimplicit"/>
    <w:uiPriority w:val="99"/>
    <w:semiHidden/>
    <w:unhideWhenUsed/>
    <w:rsid w:val="00E3005B"/>
    <w:rPr>
      <w:vertAlign w:val="superscript"/>
    </w:rPr>
  </w:style>
  <w:style w:type="character" w:styleId="Hyperlink">
    <w:name w:val="Hyperlink"/>
    <w:basedOn w:val="Fontdeparagrafimplicit"/>
    <w:uiPriority w:val="99"/>
    <w:unhideWhenUsed/>
    <w:rsid w:val="00E3005B"/>
    <w:rPr>
      <w:color w:val="0563C1" w:themeColor="hyperlink"/>
      <w:u w:val="single"/>
    </w:rPr>
  </w:style>
  <w:style w:type="character" w:styleId="MeniuneNerezolvat">
    <w:name w:val="Unresolved Mention"/>
    <w:basedOn w:val="Fontdeparagrafimplicit"/>
    <w:uiPriority w:val="99"/>
    <w:semiHidden/>
    <w:unhideWhenUsed/>
    <w:rsid w:val="00E3005B"/>
    <w:rPr>
      <w:color w:val="605E5C"/>
      <w:shd w:val="clear" w:color="auto" w:fill="E1DFDD"/>
    </w:rPr>
  </w:style>
  <w:style w:type="character" w:styleId="Accentuat">
    <w:name w:val="Emphasis"/>
    <w:basedOn w:val="Fontdeparagrafimplicit"/>
    <w:uiPriority w:val="20"/>
    <w:qFormat/>
    <w:rsid w:val="00525183"/>
    <w:rPr>
      <w:rFonts w:ascii="Georgia Pro Cond Light" w:hAnsi="Georgia Pro Cond Light"/>
      <w:i/>
      <w:iCs/>
      <w:sz w:val="20"/>
    </w:rPr>
  </w:style>
  <w:style w:type="paragraph" w:styleId="Antet">
    <w:name w:val="header"/>
    <w:basedOn w:val="Normal"/>
    <w:link w:val="AntetCaracter"/>
    <w:uiPriority w:val="99"/>
    <w:unhideWhenUsed/>
    <w:rsid w:val="00A7719D"/>
    <w:pPr>
      <w:tabs>
        <w:tab w:val="center" w:pos="4513"/>
        <w:tab w:val="right" w:pos="9026"/>
      </w:tabs>
      <w:spacing w:line="240" w:lineRule="auto"/>
    </w:pPr>
  </w:style>
  <w:style w:type="character" w:customStyle="1" w:styleId="AntetCaracter">
    <w:name w:val="Antet Caracter"/>
    <w:basedOn w:val="Fontdeparagrafimplicit"/>
    <w:link w:val="Antet"/>
    <w:uiPriority w:val="99"/>
    <w:rsid w:val="00A7719D"/>
    <w:rPr>
      <w:rFonts w:ascii="Georgia Pro" w:hAnsi="Georgia Pro"/>
    </w:rPr>
  </w:style>
  <w:style w:type="paragraph" w:styleId="Subsol">
    <w:name w:val="footer"/>
    <w:basedOn w:val="Normal"/>
    <w:link w:val="SubsolCaracter"/>
    <w:uiPriority w:val="99"/>
    <w:unhideWhenUsed/>
    <w:rsid w:val="00A7719D"/>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A7719D"/>
    <w:rPr>
      <w:rFonts w:ascii="Georgia Pro" w:hAnsi="Georgia Pro"/>
    </w:rPr>
  </w:style>
  <w:style w:type="table" w:styleId="Tabelgril">
    <w:name w:val="Table Grid"/>
    <w:basedOn w:val="Tabel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uiPriority w:val="99"/>
    <w:semiHidden/>
    <w:rsid w:val="003D50DE"/>
    <w:rPr>
      <w:color w:val="808080"/>
    </w:rPr>
  </w:style>
  <w:style w:type="paragraph" w:styleId="Legend">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fie">
    <w:name w:val="Bibliography"/>
    <w:basedOn w:val="Normal"/>
    <w:next w:val="Normal"/>
    <w:uiPriority w:val="37"/>
    <w:unhideWhenUsed/>
    <w:rsid w:val="0077784E"/>
  </w:style>
  <w:style w:type="character" w:customStyle="1" w:styleId="Titlu3Caracter">
    <w:name w:val="Titlu 3 Caracter"/>
    <w:basedOn w:val="Fontdeparagrafimplicit"/>
    <w:link w:val="Titlu3"/>
    <w:uiPriority w:val="9"/>
    <w:rsid w:val="00D1521B"/>
    <w:rPr>
      <w:rFonts w:ascii="Georgia Pro Semibold" w:eastAsiaTheme="majorEastAsia" w:hAnsi="Georgia Pro Semibold" w:cstheme="majorBidi"/>
      <w:color w:val="000000" w:themeColor="text1"/>
      <w:sz w:val="24"/>
      <w:szCs w:val="24"/>
    </w:rPr>
  </w:style>
  <w:style w:type="paragraph" w:styleId="Listparagraf">
    <w:name w:val="List Paragraph"/>
    <w:basedOn w:val="Normal"/>
    <w:uiPriority w:val="34"/>
    <w:qFormat/>
    <w:rsid w:val="00EA0117"/>
    <w:pPr>
      <w:spacing w:before="360" w:after="80" w:line="360" w:lineRule="auto"/>
      <w:ind w:left="720" w:firstLine="0"/>
      <w:contextualSpacing/>
      <w:jc w:val="center"/>
    </w:pPr>
    <w:rPr>
      <w:rFonts w:ascii="Times New Roman" w:hAnsi="Times New Roman" w:cstheme="majorBidi"/>
      <w:kern w:val="2"/>
      <w:sz w:val="28"/>
      <w:szCs w:val="40"/>
      <w:lang w:val="ro-RO"/>
      <w14:ligatures w14:val="standardContextual"/>
    </w:rPr>
  </w:style>
  <w:style w:type="table" w:customStyle="1" w:styleId="Tabelgril1">
    <w:name w:val="Tabel grilă1"/>
    <w:basedOn w:val="TabelNormal"/>
    <w:next w:val="Tabelgril"/>
    <w:uiPriority w:val="39"/>
    <w:rsid w:val="008368C2"/>
    <w:pPr>
      <w:spacing w:after="0" w:line="240" w:lineRule="auto"/>
      <w:jc w:val="center"/>
    </w:pPr>
    <w:rPr>
      <w:rFonts w:ascii="Times New Roman" w:eastAsia="Aptos" w:hAnsi="Times New Roman" w:cs="Times New Roman"/>
      <w:kern w:val="2"/>
      <w:sz w:val="28"/>
      <w:szCs w:val="40"/>
      <w:lang w:val="ro-RO"/>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elNormal"/>
    <w:next w:val="Tabelgril"/>
    <w:uiPriority w:val="39"/>
    <w:rsid w:val="005967B6"/>
    <w:pPr>
      <w:spacing w:after="0" w:line="240" w:lineRule="auto"/>
      <w:jc w:val="center"/>
    </w:pPr>
    <w:rPr>
      <w:rFonts w:ascii="Times New Roman" w:eastAsia="Aptos" w:hAnsi="Times New Roman" w:cs="Times New Roman"/>
      <w:kern w:val="2"/>
      <w:sz w:val="28"/>
      <w:szCs w:val="40"/>
      <w:lang w:val="ro-RO"/>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
    <w:name w:val="Tabel grilă3"/>
    <w:basedOn w:val="TabelNormal"/>
    <w:next w:val="Tabelgril"/>
    <w:uiPriority w:val="39"/>
    <w:rsid w:val="0056029B"/>
    <w:pPr>
      <w:spacing w:after="0" w:line="240" w:lineRule="auto"/>
      <w:jc w:val="center"/>
    </w:pPr>
    <w:rPr>
      <w:rFonts w:ascii="Times New Roman" w:eastAsia="Aptos" w:hAnsi="Times New Roman" w:cs="Times New Roman"/>
      <w:kern w:val="2"/>
      <w:sz w:val="28"/>
      <w:szCs w:val="40"/>
      <w:lang w:val="ro-RO"/>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5505">
      <w:bodyDiv w:val="1"/>
      <w:marLeft w:val="0"/>
      <w:marRight w:val="0"/>
      <w:marTop w:val="0"/>
      <w:marBottom w:val="0"/>
      <w:divBdr>
        <w:top w:val="none" w:sz="0" w:space="0" w:color="auto"/>
        <w:left w:val="none" w:sz="0" w:space="0" w:color="auto"/>
        <w:bottom w:val="none" w:sz="0" w:space="0" w:color="auto"/>
        <w:right w:val="none" w:sz="0" w:space="0" w:color="auto"/>
      </w:divBdr>
    </w:div>
    <w:div w:id="46076047">
      <w:bodyDiv w:val="1"/>
      <w:marLeft w:val="0"/>
      <w:marRight w:val="0"/>
      <w:marTop w:val="0"/>
      <w:marBottom w:val="0"/>
      <w:divBdr>
        <w:top w:val="none" w:sz="0" w:space="0" w:color="auto"/>
        <w:left w:val="none" w:sz="0" w:space="0" w:color="auto"/>
        <w:bottom w:val="none" w:sz="0" w:space="0" w:color="auto"/>
        <w:right w:val="none" w:sz="0" w:space="0" w:color="auto"/>
      </w:divBdr>
    </w:div>
    <w:div w:id="67502506">
      <w:bodyDiv w:val="1"/>
      <w:marLeft w:val="0"/>
      <w:marRight w:val="0"/>
      <w:marTop w:val="0"/>
      <w:marBottom w:val="0"/>
      <w:divBdr>
        <w:top w:val="none" w:sz="0" w:space="0" w:color="auto"/>
        <w:left w:val="none" w:sz="0" w:space="0" w:color="auto"/>
        <w:bottom w:val="none" w:sz="0" w:space="0" w:color="auto"/>
        <w:right w:val="none" w:sz="0" w:space="0" w:color="auto"/>
      </w:divBdr>
    </w:div>
    <w:div w:id="89588346">
      <w:bodyDiv w:val="1"/>
      <w:marLeft w:val="0"/>
      <w:marRight w:val="0"/>
      <w:marTop w:val="0"/>
      <w:marBottom w:val="0"/>
      <w:divBdr>
        <w:top w:val="none" w:sz="0" w:space="0" w:color="auto"/>
        <w:left w:val="none" w:sz="0" w:space="0" w:color="auto"/>
        <w:bottom w:val="none" w:sz="0" w:space="0" w:color="auto"/>
        <w:right w:val="none" w:sz="0" w:space="0" w:color="auto"/>
      </w:divBdr>
    </w:div>
    <w:div w:id="135223182">
      <w:bodyDiv w:val="1"/>
      <w:marLeft w:val="0"/>
      <w:marRight w:val="0"/>
      <w:marTop w:val="0"/>
      <w:marBottom w:val="0"/>
      <w:divBdr>
        <w:top w:val="none" w:sz="0" w:space="0" w:color="auto"/>
        <w:left w:val="none" w:sz="0" w:space="0" w:color="auto"/>
        <w:bottom w:val="none" w:sz="0" w:space="0" w:color="auto"/>
        <w:right w:val="none" w:sz="0" w:space="0" w:color="auto"/>
      </w:divBdr>
    </w:div>
    <w:div w:id="152334675">
      <w:bodyDiv w:val="1"/>
      <w:marLeft w:val="0"/>
      <w:marRight w:val="0"/>
      <w:marTop w:val="0"/>
      <w:marBottom w:val="0"/>
      <w:divBdr>
        <w:top w:val="none" w:sz="0" w:space="0" w:color="auto"/>
        <w:left w:val="none" w:sz="0" w:space="0" w:color="auto"/>
        <w:bottom w:val="none" w:sz="0" w:space="0" w:color="auto"/>
        <w:right w:val="none" w:sz="0" w:space="0" w:color="auto"/>
      </w:divBdr>
    </w:div>
    <w:div w:id="165019914">
      <w:bodyDiv w:val="1"/>
      <w:marLeft w:val="0"/>
      <w:marRight w:val="0"/>
      <w:marTop w:val="0"/>
      <w:marBottom w:val="0"/>
      <w:divBdr>
        <w:top w:val="none" w:sz="0" w:space="0" w:color="auto"/>
        <w:left w:val="none" w:sz="0" w:space="0" w:color="auto"/>
        <w:bottom w:val="none" w:sz="0" w:space="0" w:color="auto"/>
        <w:right w:val="none" w:sz="0" w:space="0" w:color="auto"/>
      </w:divBdr>
    </w:div>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229585089">
      <w:bodyDiv w:val="1"/>
      <w:marLeft w:val="0"/>
      <w:marRight w:val="0"/>
      <w:marTop w:val="0"/>
      <w:marBottom w:val="0"/>
      <w:divBdr>
        <w:top w:val="none" w:sz="0" w:space="0" w:color="auto"/>
        <w:left w:val="none" w:sz="0" w:space="0" w:color="auto"/>
        <w:bottom w:val="none" w:sz="0" w:space="0" w:color="auto"/>
        <w:right w:val="none" w:sz="0" w:space="0" w:color="auto"/>
      </w:divBdr>
    </w:div>
    <w:div w:id="243997837">
      <w:bodyDiv w:val="1"/>
      <w:marLeft w:val="0"/>
      <w:marRight w:val="0"/>
      <w:marTop w:val="0"/>
      <w:marBottom w:val="0"/>
      <w:divBdr>
        <w:top w:val="none" w:sz="0" w:space="0" w:color="auto"/>
        <w:left w:val="none" w:sz="0" w:space="0" w:color="auto"/>
        <w:bottom w:val="none" w:sz="0" w:space="0" w:color="auto"/>
        <w:right w:val="none" w:sz="0" w:space="0" w:color="auto"/>
      </w:divBdr>
    </w:div>
    <w:div w:id="292754133">
      <w:bodyDiv w:val="1"/>
      <w:marLeft w:val="0"/>
      <w:marRight w:val="0"/>
      <w:marTop w:val="0"/>
      <w:marBottom w:val="0"/>
      <w:divBdr>
        <w:top w:val="none" w:sz="0" w:space="0" w:color="auto"/>
        <w:left w:val="none" w:sz="0" w:space="0" w:color="auto"/>
        <w:bottom w:val="none" w:sz="0" w:space="0" w:color="auto"/>
        <w:right w:val="none" w:sz="0" w:space="0" w:color="auto"/>
      </w:divBdr>
    </w:div>
    <w:div w:id="322977924">
      <w:bodyDiv w:val="1"/>
      <w:marLeft w:val="0"/>
      <w:marRight w:val="0"/>
      <w:marTop w:val="0"/>
      <w:marBottom w:val="0"/>
      <w:divBdr>
        <w:top w:val="none" w:sz="0" w:space="0" w:color="auto"/>
        <w:left w:val="none" w:sz="0" w:space="0" w:color="auto"/>
        <w:bottom w:val="none" w:sz="0" w:space="0" w:color="auto"/>
        <w:right w:val="none" w:sz="0" w:space="0" w:color="auto"/>
      </w:divBdr>
    </w:div>
    <w:div w:id="326978414">
      <w:bodyDiv w:val="1"/>
      <w:marLeft w:val="0"/>
      <w:marRight w:val="0"/>
      <w:marTop w:val="0"/>
      <w:marBottom w:val="0"/>
      <w:divBdr>
        <w:top w:val="none" w:sz="0" w:space="0" w:color="auto"/>
        <w:left w:val="none" w:sz="0" w:space="0" w:color="auto"/>
        <w:bottom w:val="none" w:sz="0" w:space="0" w:color="auto"/>
        <w:right w:val="none" w:sz="0" w:space="0" w:color="auto"/>
      </w:divBdr>
    </w:div>
    <w:div w:id="362363095">
      <w:bodyDiv w:val="1"/>
      <w:marLeft w:val="0"/>
      <w:marRight w:val="0"/>
      <w:marTop w:val="0"/>
      <w:marBottom w:val="0"/>
      <w:divBdr>
        <w:top w:val="none" w:sz="0" w:space="0" w:color="auto"/>
        <w:left w:val="none" w:sz="0" w:space="0" w:color="auto"/>
        <w:bottom w:val="none" w:sz="0" w:space="0" w:color="auto"/>
        <w:right w:val="none" w:sz="0" w:space="0" w:color="auto"/>
      </w:divBdr>
    </w:div>
    <w:div w:id="374743628">
      <w:bodyDiv w:val="1"/>
      <w:marLeft w:val="0"/>
      <w:marRight w:val="0"/>
      <w:marTop w:val="0"/>
      <w:marBottom w:val="0"/>
      <w:divBdr>
        <w:top w:val="none" w:sz="0" w:space="0" w:color="auto"/>
        <w:left w:val="none" w:sz="0" w:space="0" w:color="auto"/>
        <w:bottom w:val="none" w:sz="0" w:space="0" w:color="auto"/>
        <w:right w:val="none" w:sz="0" w:space="0" w:color="auto"/>
      </w:divBdr>
    </w:div>
    <w:div w:id="472453064">
      <w:bodyDiv w:val="1"/>
      <w:marLeft w:val="0"/>
      <w:marRight w:val="0"/>
      <w:marTop w:val="0"/>
      <w:marBottom w:val="0"/>
      <w:divBdr>
        <w:top w:val="none" w:sz="0" w:space="0" w:color="auto"/>
        <w:left w:val="none" w:sz="0" w:space="0" w:color="auto"/>
        <w:bottom w:val="none" w:sz="0" w:space="0" w:color="auto"/>
        <w:right w:val="none" w:sz="0" w:space="0" w:color="auto"/>
      </w:divBdr>
    </w:div>
    <w:div w:id="526142593">
      <w:bodyDiv w:val="1"/>
      <w:marLeft w:val="0"/>
      <w:marRight w:val="0"/>
      <w:marTop w:val="0"/>
      <w:marBottom w:val="0"/>
      <w:divBdr>
        <w:top w:val="none" w:sz="0" w:space="0" w:color="auto"/>
        <w:left w:val="none" w:sz="0" w:space="0" w:color="auto"/>
        <w:bottom w:val="none" w:sz="0" w:space="0" w:color="auto"/>
        <w:right w:val="none" w:sz="0" w:space="0" w:color="auto"/>
      </w:divBdr>
    </w:div>
    <w:div w:id="580137070">
      <w:bodyDiv w:val="1"/>
      <w:marLeft w:val="0"/>
      <w:marRight w:val="0"/>
      <w:marTop w:val="0"/>
      <w:marBottom w:val="0"/>
      <w:divBdr>
        <w:top w:val="none" w:sz="0" w:space="0" w:color="auto"/>
        <w:left w:val="none" w:sz="0" w:space="0" w:color="auto"/>
        <w:bottom w:val="none" w:sz="0" w:space="0" w:color="auto"/>
        <w:right w:val="none" w:sz="0" w:space="0" w:color="auto"/>
      </w:divBdr>
    </w:div>
    <w:div w:id="614992392">
      <w:bodyDiv w:val="1"/>
      <w:marLeft w:val="0"/>
      <w:marRight w:val="0"/>
      <w:marTop w:val="0"/>
      <w:marBottom w:val="0"/>
      <w:divBdr>
        <w:top w:val="none" w:sz="0" w:space="0" w:color="auto"/>
        <w:left w:val="none" w:sz="0" w:space="0" w:color="auto"/>
        <w:bottom w:val="none" w:sz="0" w:space="0" w:color="auto"/>
        <w:right w:val="none" w:sz="0" w:space="0" w:color="auto"/>
      </w:divBdr>
    </w:div>
    <w:div w:id="678313954">
      <w:bodyDiv w:val="1"/>
      <w:marLeft w:val="0"/>
      <w:marRight w:val="0"/>
      <w:marTop w:val="0"/>
      <w:marBottom w:val="0"/>
      <w:divBdr>
        <w:top w:val="none" w:sz="0" w:space="0" w:color="auto"/>
        <w:left w:val="none" w:sz="0" w:space="0" w:color="auto"/>
        <w:bottom w:val="none" w:sz="0" w:space="0" w:color="auto"/>
        <w:right w:val="none" w:sz="0" w:space="0" w:color="auto"/>
      </w:divBdr>
    </w:div>
    <w:div w:id="749035596">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839999556">
      <w:bodyDiv w:val="1"/>
      <w:marLeft w:val="0"/>
      <w:marRight w:val="0"/>
      <w:marTop w:val="0"/>
      <w:marBottom w:val="0"/>
      <w:divBdr>
        <w:top w:val="none" w:sz="0" w:space="0" w:color="auto"/>
        <w:left w:val="none" w:sz="0" w:space="0" w:color="auto"/>
        <w:bottom w:val="none" w:sz="0" w:space="0" w:color="auto"/>
        <w:right w:val="none" w:sz="0" w:space="0" w:color="auto"/>
      </w:divBdr>
    </w:div>
    <w:div w:id="840048141">
      <w:bodyDiv w:val="1"/>
      <w:marLeft w:val="0"/>
      <w:marRight w:val="0"/>
      <w:marTop w:val="0"/>
      <w:marBottom w:val="0"/>
      <w:divBdr>
        <w:top w:val="none" w:sz="0" w:space="0" w:color="auto"/>
        <w:left w:val="none" w:sz="0" w:space="0" w:color="auto"/>
        <w:bottom w:val="none" w:sz="0" w:space="0" w:color="auto"/>
        <w:right w:val="none" w:sz="0" w:space="0" w:color="auto"/>
      </w:divBdr>
    </w:div>
    <w:div w:id="841163251">
      <w:bodyDiv w:val="1"/>
      <w:marLeft w:val="0"/>
      <w:marRight w:val="0"/>
      <w:marTop w:val="0"/>
      <w:marBottom w:val="0"/>
      <w:divBdr>
        <w:top w:val="none" w:sz="0" w:space="0" w:color="auto"/>
        <w:left w:val="none" w:sz="0" w:space="0" w:color="auto"/>
        <w:bottom w:val="none" w:sz="0" w:space="0" w:color="auto"/>
        <w:right w:val="none" w:sz="0" w:space="0" w:color="auto"/>
      </w:divBdr>
    </w:div>
    <w:div w:id="869800770">
      <w:bodyDiv w:val="1"/>
      <w:marLeft w:val="0"/>
      <w:marRight w:val="0"/>
      <w:marTop w:val="0"/>
      <w:marBottom w:val="0"/>
      <w:divBdr>
        <w:top w:val="none" w:sz="0" w:space="0" w:color="auto"/>
        <w:left w:val="none" w:sz="0" w:space="0" w:color="auto"/>
        <w:bottom w:val="none" w:sz="0" w:space="0" w:color="auto"/>
        <w:right w:val="none" w:sz="0" w:space="0" w:color="auto"/>
      </w:divBdr>
    </w:div>
    <w:div w:id="925267974">
      <w:bodyDiv w:val="1"/>
      <w:marLeft w:val="0"/>
      <w:marRight w:val="0"/>
      <w:marTop w:val="0"/>
      <w:marBottom w:val="0"/>
      <w:divBdr>
        <w:top w:val="none" w:sz="0" w:space="0" w:color="auto"/>
        <w:left w:val="none" w:sz="0" w:space="0" w:color="auto"/>
        <w:bottom w:val="none" w:sz="0" w:space="0" w:color="auto"/>
        <w:right w:val="none" w:sz="0" w:space="0" w:color="auto"/>
      </w:divBdr>
    </w:div>
    <w:div w:id="948900887">
      <w:bodyDiv w:val="1"/>
      <w:marLeft w:val="0"/>
      <w:marRight w:val="0"/>
      <w:marTop w:val="0"/>
      <w:marBottom w:val="0"/>
      <w:divBdr>
        <w:top w:val="none" w:sz="0" w:space="0" w:color="auto"/>
        <w:left w:val="none" w:sz="0" w:space="0" w:color="auto"/>
        <w:bottom w:val="none" w:sz="0" w:space="0" w:color="auto"/>
        <w:right w:val="none" w:sz="0" w:space="0" w:color="auto"/>
      </w:divBdr>
    </w:div>
    <w:div w:id="968046533">
      <w:bodyDiv w:val="1"/>
      <w:marLeft w:val="0"/>
      <w:marRight w:val="0"/>
      <w:marTop w:val="0"/>
      <w:marBottom w:val="0"/>
      <w:divBdr>
        <w:top w:val="none" w:sz="0" w:space="0" w:color="auto"/>
        <w:left w:val="none" w:sz="0" w:space="0" w:color="auto"/>
        <w:bottom w:val="none" w:sz="0" w:space="0" w:color="auto"/>
        <w:right w:val="none" w:sz="0" w:space="0" w:color="auto"/>
      </w:divBdr>
    </w:div>
    <w:div w:id="973634723">
      <w:bodyDiv w:val="1"/>
      <w:marLeft w:val="0"/>
      <w:marRight w:val="0"/>
      <w:marTop w:val="0"/>
      <w:marBottom w:val="0"/>
      <w:divBdr>
        <w:top w:val="none" w:sz="0" w:space="0" w:color="auto"/>
        <w:left w:val="none" w:sz="0" w:space="0" w:color="auto"/>
        <w:bottom w:val="none" w:sz="0" w:space="0" w:color="auto"/>
        <w:right w:val="none" w:sz="0" w:space="0" w:color="auto"/>
      </w:divBdr>
    </w:div>
    <w:div w:id="1089034630">
      <w:bodyDiv w:val="1"/>
      <w:marLeft w:val="0"/>
      <w:marRight w:val="0"/>
      <w:marTop w:val="0"/>
      <w:marBottom w:val="0"/>
      <w:divBdr>
        <w:top w:val="none" w:sz="0" w:space="0" w:color="auto"/>
        <w:left w:val="none" w:sz="0" w:space="0" w:color="auto"/>
        <w:bottom w:val="none" w:sz="0" w:space="0" w:color="auto"/>
        <w:right w:val="none" w:sz="0" w:space="0" w:color="auto"/>
      </w:divBdr>
    </w:div>
    <w:div w:id="1145666093">
      <w:bodyDiv w:val="1"/>
      <w:marLeft w:val="0"/>
      <w:marRight w:val="0"/>
      <w:marTop w:val="0"/>
      <w:marBottom w:val="0"/>
      <w:divBdr>
        <w:top w:val="none" w:sz="0" w:space="0" w:color="auto"/>
        <w:left w:val="none" w:sz="0" w:space="0" w:color="auto"/>
        <w:bottom w:val="none" w:sz="0" w:space="0" w:color="auto"/>
        <w:right w:val="none" w:sz="0" w:space="0" w:color="auto"/>
      </w:divBdr>
    </w:div>
    <w:div w:id="1285118343">
      <w:bodyDiv w:val="1"/>
      <w:marLeft w:val="0"/>
      <w:marRight w:val="0"/>
      <w:marTop w:val="0"/>
      <w:marBottom w:val="0"/>
      <w:divBdr>
        <w:top w:val="none" w:sz="0" w:space="0" w:color="auto"/>
        <w:left w:val="none" w:sz="0" w:space="0" w:color="auto"/>
        <w:bottom w:val="none" w:sz="0" w:space="0" w:color="auto"/>
        <w:right w:val="none" w:sz="0" w:space="0" w:color="auto"/>
      </w:divBdr>
    </w:div>
    <w:div w:id="1285695831">
      <w:bodyDiv w:val="1"/>
      <w:marLeft w:val="0"/>
      <w:marRight w:val="0"/>
      <w:marTop w:val="0"/>
      <w:marBottom w:val="0"/>
      <w:divBdr>
        <w:top w:val="none" w:sz="0" w:space="0" w:color="auto"/>
        <w:left w:val="none" w:sz="0" w:space="0" w:color="auto"/>
        <w:bottom w:val="none" w:sz="0" w:space="0" w:color="auto"/>
        <w:right w:val="none" w:sz="0" w:space="0" w:color="auto"/>
      </w:divBdr>
    </w:div>
    <w:div w:id="1305236610">
      <w:bodyDiv w:val="1"/>
      <w:marLeft w:val="0"/>
      <w:marRight w:val="0"/>
      <w:marTop w:val="0"/>
      <w:marBottom w:val="0"/>
      <w:divBdr>
        <w:top w:val="none" w:sz="0" w:space="0" w:color="auto"/>
        <w:left w:val="none" w:sz="0" w:space="0" w:color="auto"/>
        <w:bottom w:val="none" w:sz="0" w:space="0" w:color="auto"/>
        <w:right w:val="none" w:sz="0" w:space="0" w:color="auto"/>
      </w:divBdr>
    </w:div>
    <w:div w:id="1309163570">
      <w:bodyDiv w:val="1"/>
      <w:marLeft w:val="0"/>
      <w:marRight w:val="0"/>
      <w:marTop w:val="0"/>
      <w:marBottom w:val="0"/>
      <w:divBdr>
        <w:top w:val="none" w:sz="0" w:space="0" w:color="auto"/>
        <w:left w:val="none" w:sz="0" w:space="0" w:color="auto"/>
        <w:bottom w:val="none" w:sz="0" w:space="0" w:color="auto"/>
        <w:right w:val="none" w:sz="0" w:space="0" w:color="auto"/>
      </w:divBdr>
    </w:div>
    <w:div w:id="1332634101">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522009196">
      <w:bodyDiv w:val="1"/>
      <w:marLeft w:val="0"/>
      <w:marRight w:val="0"/>
      <w:marTop w:val="0"/>
      <w:marBottom w:val="0"/>
      <w:divBdr>
        <w:top w:val="none" w:sz="0" w:space="0" w:color="auto"/>
        <w:left w:val="none" w:sz="0" w:space="0" w:color="auto"/>
        <w:bottom w:val="none" w:sz="0" w:space="0" w:color="auto"/>
        <w:right w:val="none" w:sz="0" w:space="0" w:color="auto"/>
      </w:divBdr>
    </w:div>
    <w:div w:id="1540781293">
      <w:bodyDiv w:val="1"/>
      <w:marLeft w:val="0"/>
      <w:marRight w:val="0"/>
      <w:marTop w:val="0"/>
      <w:marBottom w:val="0"/>
      <w:divBdr>
        <w:top w:val="none" w:sz="0" w:space="0" w:color="auto"/>
        <w:left w:val="none" w:sz="0" w:space="0" w:color="auto"/>
        <w:bottom w:val="none" w:sz="0" w:space="0" w:color="auto"/>
        <w:right w:val="none" w:sz="0" w:space="0" w:color="auto"/>
      </w:divBdr>
    </w:div>
    <w:div w:id="1567912924">
      <w:bodyDiv w:val="1"/>
      <w:marLeft w:val="0"/>
      <w:marRight w:val="0"/>
      <w:marTop w:val="0"/>
      <w:marBottom w:val="0"/>
      <w:divBdr>
        <w:top w:val="none" w:sz="0" w:space="0" w:color="auto"/>
        <w:left w:val="none" w:sz="0" w:space="0" w:color="auto"/>
        <w:bottom w:val="none" w:sz="0" w:space="0" w:color="auto"/>
        <w:right w:val="none" w:sz="0" w:space="0" w:color="auto"/>
      </w:divBdr>
    </w:div>
    <w:div w:id="1603804352">
      <w:bodyDiv w:val="1"/>
      <w:marLeft w:val="0"/>
      <w:marRight w:val="0"/>
      <w:marTop w:val="0"/>
      <w:marBottom w:val="0"/>
      <w:divBdr>
        <w:top w:val="none" w:sz="0" w:space="0" w:color="auto"/>
        <w:left w:val="none" w:sz="0" w:space="0" w:color="auto"/>
        <w:bottom w:val="none" w:sz="0" w:space="0" w:color="auto"/>
        <w:right w:val="none" w:sz="0" w:space="0" w:color="auto"/>
      </w:divBdr>
    </w:div>
    <w:div w:id="1813399137">
      <w:bodyDiv w:val="1"/>
      <w:marLeft w:val="0"/>
      <w:marRight w:val="0"/>
      <w:marTop w:val="0"/>
      <w:marBottom w:val="0"/>
      <w:divBdr>
        <w:top w:val="none" w:sz="0" w:space="0" w:color="auto"/>
        <w:left w:val="none" w:sz="0" w:space="0" w:color="auto"/>
        <w:bottom w:val="none" w:sz="0" w:space="0" w:color="auto"/>
        <w:right w:val="none" w:sz="0" w:space="0" w:color="auto"/>
      </w:divBdr>
    </w:div>
    <w:div w:id="1879465443">
      <w:bodyDiv w:val="1"/>
      <w:marLeft w:val="0"/>
      <w:marRight w:val="0"/>
      <w:marTop w:val="0"/>
      <w:marBottom w:val="0"/>
      <w:divBdr>
        <w:top w:val="none" w:sz="0" w:space="0" w:color="auto"/>
        <w:left w:val="none" w:sz="0" w:space="0" w:color="auto"/>
        <w:bottom w:val="none" w:sz="0" w:space="0" w:color="auto"/>
        <w:right w:val="none" w:sz="0" w:space="0" w:color="auto"/>
      </w:divBdr>
    </w:div>
    <w:div w:id="1904829314">
      <w:bodyDiv w:val="1"/>
      <w:marLeft w:val="0"/>
      <w:marRight w:val="0"/>
      <w:marTop w:val="0"/>
      <w:marBottom w:val="0"/>
      <w:divBdr>
        <w:top w:val="none" w:sz="0" w:space="0" w:color="auto"/>
        <w:left w:val="none" w:sz="0" w:space="0" w:color="auto"/>
        <w:bottom w:val="none" w:sz="0" w:space="0" w:color="auto"/>
        <w:right w:val="none" w:sz="0" w:space="0" w:color="auto"/>
      </w:divBdr>
    </w:div>
    <w:div w:id="20068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sv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Registru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Foaie1!$B$1</c:f>
              <c:strCache>
                <c:ptCount val="1"/>
                <c:pt idx="0">
                  <c:v>Venituri totale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Foaie1!$A$2:$A$5</c:f>
              <c:numCache>
                <c:formatCode>General</c:formatCode>
                <c:ptCount val="4"/>
                <c:pt idx="0">
                  <c:v>2020</c:v>
                </c:pt>
                <c:pt idx="1">
                  <c:v>2021</c:v>
                </c:pt>
                <c:pt idx="2">
                  <c:v>2022</c:v>
                </c:pt>
                <c:pt idx="3">
                  <c:v>2023</c:v>
                </c:pt>
              </c:numCache>
            </c:numRef>
          </c:cat>
          <c:val>
            <c:numRef>
              <c:f>Foaie1!$B$2:$B$5</c:f>
              <c:numCache>
                <c:formatCode>#,##0</c:formatCode>
                <c:ptCount val="4"/>
                <c:pt idx="0">
                  <c:v>1480329</c:v>
                </c:pt>
                <c:pt idx="1">
                  <c:v>1612954</c:v>
                </c:pt>
                <c:pt idx="2">
                  <c:v>1853293</c:v>
                </c:pt>
                <c:pt idx="3">
                  <c:v>1641786</c:v>
                </c:pt>
              </c:numCache>
            </c:numRef>
          </c:val>
          <c:extLst>
            <c:ext xmlns:c16="http://schemas.microsoft.com/office/drawing/2014/chart" uri="{C3380CC4-5D6E-409C-BE32-E72D297353CC}">
              <c16:uniqueId val="{00000000-3D02-4604-8106-E8FC2082F471}"/>
            </c:ext>
          </c:extLst>
        </c:ser>
        <c:ser>
          <c:idx val="1"/>
          <c:order val="1"/>
          <c:tx>
            <c:strRef>
              <c:f>Foaie1!$C$1</c:f>
              <c:strCache>
                <c:ptCount val="1"/>
                <c:pt idx="0">
                  <c:v>Cheltuieli totale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Foaie1!$A$2:$A$5</c:f>
              <c:numCache>
                <c:formatCode>General</c:formatCode>
                <c:ptCount val="4"/>
                <c:pt idx="0">
                  <c:v>2020</c:v>
                </c:pt>
                <c:pt idx="1">
                  <c:v>2021</c:v>
                </c:pt>
                <c:pt idx="2">
                  <c:v>2022</c:v>
                </c:pt>
                <c:pt idx="3">
                  <c:v>2023</c:v>
                </c:pt>
              </c:numCache>
            </c:numRef>
          </c:cat>
          <c:val>
            <c:numRef>
              <c:f>Foaie1!$C$2:$C$5</c:f>
              <c:numCache>
                <c:formatCode>#,##0</c:formatCode>
                <c:ptCount val="4"/>
                <c:pt idx="0">
                  <c:v>1427426</c:v>
                </c:pt>
                <c:pt idx="1">
                  <c:v>1549774</c:v>
                </c:pt>
                <c:pt idx="2">
                  <c:v>1820269</c:v>
                </c:pt>
                <c:pt idx="3">
                  <c:v>1581626</c:v>
                </c:pt>
              </c:numCache>
            </c:numRef>
          </c:val>
          <c:extLst>
            <c:ext xmlns:c16="http://schemas.microsoft.com/office/drawing/2014/chart" uri="{C3380CC4-5D6E-409C-BE32-E72D297353CC}">
              <c16:uniqueId val="{00000001-3D02-4604-8106-E8FC2082F471}"/>
            </c:ext>
          </c:extLst>
        </c:ser>
        <c:dLbls>
          <c:showLegendKey val="0"/>
          <c:showVal val="0"/>
          <c:showCatName val="0"/>
          <c:showSerName val="0"/>
          <c:showPercent val="0"/>
          <c:showBubbleSize val="0"/>
        </c:dLbls>
        <c:gapWidth val="100"/>
        <c:overlap val="-24"/>
        <c:axId val="803940352"/>
        <c:axId val="803949952"/>
      </c:barChart>
      <c:catAx>
        <c:axId val="8039403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803949952"/>
        <c:crosses val="autoZero"/>
        <c:auto val="1"/>
        <c:lblAlgn val="ctr"/>
        <c:lblOffset val="100"/>
        <c:noMultiLvlLbl val="0"/>
      </c:catAx>
      <c:valAx>
        <c:axId val="803949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803940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5</b:RefOrder>
  </b:Source>
  <b:Source>
    <b:Tag>Substituent1</b:Tag>
    <b:SourceType>Book</b:SourceType>
    <b:Guid>{E6A0A875-3B2D-4083-847B-C1537881187C}</b:Guid>
    <b:RefOrder>1</b:RefOrder>
  </b:Source>
  <b:Source>
    <b:Tag>Substituent2</b:Tag>
    <b:SourceType>Book</b:SourceType>
    <b:Guid>{BEEA0FF7-CF0F-4517-A481-D04D3B69D5AB}</b:Guid>
    <b:RefOrder>2</b:RefOrder>
  </b:Source>
  <b:Source>
    <b:Tag>Substituent3</b:Tag>
    <b:SourceType>Book</b:SourceType>
    <b:Guid>{63DF206A-95BE-45D3-B41B-5CA2F1FB1D03}</b:Guid>
    <b:RefOrder>3</b:RefOrder>
  </b:Source>
  <b:Source>
    <b:Tag>Substituent4</b:Tag>
    <b:SourceType>Book</b:SourceType>
    <b:Guid>{193617D2-17DC-4E47-BF79-A799AF3349CA}</b:Guid>
    <b:RefOrder>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2.xml><?xml version="1.0" encoding="utf-8"?>
<ds:datastoreItem xmlns:ds="http://schemas.openxmlformats.org/officeDocument/2006/customXml" ds:itemID="{1BB47800-A8A1-4B86-B376-78E6E97E8E3A}">
  <ds:schemaRefs>
    <ds:schemaRef ds:uri="http://schemas.openxmlformats.org/officeDocument/2006/bibliography"/>
  </ds:schemaRefs>
</ds:datastoreItem>
</file>

<file path=customXml/itemProps3.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template_jXGEN_w1.dotm</Template>
  <TotalTime>208</TotalTime>
  <Pages>7</Pages>
  <Words>2554</Words>
  <Characters>14814</Characters>
  <Application>Microsoft Office Word</Application>
  <DocSecurity>0</DocSecurity>
  <Lines>123</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Ancuta Iuga</cp:lastModifiedBy>
  <cp:revision>28</cp:revision>
  <cp:lastPrinted>2021-11-16T18:47:00Z</cp:lastPrinted>
  <dcterms:created xsi:type="dcterms:W3CDTF">2023-10-10T05:59:00Z</dcterms:created>
  <dcterms:modified xsi:type="dcterms:W3CDTF">2025-06-02T17:15:00Z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