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8CD97" w14:textId="77777777" w:rsidR="00527F5E" w:rsidRDefault="00000000">
      <w:pPr>
        <w:pStyle w:val="Heading1"/>
        <w:rPr>
          <w:lang w:val="ro-RO"/>
        </w:rPr>
      </w:pPr>
      <w:r>
        <w:rPr>
          <w:lang w:val="ro-RO"/>
        </w:rPr>
        <w:t>Sistemul de protecție socială din România</w:t>
      </w:r>
    </w:p>
    <w:p w14:paraId="7728F6D2" w14:textId="77777777" w:rsidR="00527F5E" w:rsidRDefault="00527F5E">
      <w:pPr>
        <w:rPr>
          <w:lang w:val="ro-RO"/>
        </w:rPr>
        <w:sectPr w:rsidR="00527F5E">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20" w:footer="720" w:gutter="0"/>
          <w:cols w:space="720"/>
          <w:docGrid w:linePitch="360"/>
        </w:sectPr>
      </w:pPr>
    </w:p>
    <w:p w14:paraId="7991D3F1" w14:textId="77777777" w:rsidR="00527F5E" w:rsidRDefault="00527F5E">
      <w:pPr>
        <w:rPr>
          <w:lang w:val="ro-RO"/>
        </w:rPr>
      </w:pPr>
    </w:p>
    <w:p w14:paraId="6A7CB5EA" w14:textId="77777777" w:rsidR="00527F5E" w:rsidRDefault="00527F5E">
      <w:pPr>
        <w:ind w:firstLine="0"/>
        <w:rPr>
          <w:lang w:val="ro-RO"/>
        </w:rPr>
        <w:sectPr w:rsidR="00527F5E">
          <w:type w:val="continuous"/>
          <w:pgSz w:w="11906" w:h="16838"/>
          <w:pgMar w:top="1440" w:right="1080" w:bottom="1440" w:left="1080" w:header="720" w:footer="720" w:gutter="0"/>
          <w:cols w:num="2" w:space="720"/>
          <w:docGrid w:linePitch="360"/>
        </w:sectPr>
      </w:pPr>
    </w:p>
    <w:p w14:paraId="4D5BCB77" w14:textId="77777777" w:rsidR="00527F5E" w:rsidRDefault="00000000">
      <w:pPr>
        <w:ind w:firstLine="0"/>
        <w:rPr>
          <w:smallCaps/>
          <w:sz w:val="20"/>
          <w:szCs w:val="20"/>
          <w:lang w:val="ro-RO"/>
        </w:rPr>
      </w:pPr>
      <w:r>
        <w:rPr>
          <w:smallCaps/>
          <w:sz w:val="20"/>
          <w:szCs w:val="20"/>
          <w:lang w:val="ro-RO"/>
        </w:rPr>
        <w:t>Gavriș Teodora Ștefania</w:t>
      </w:r>
    </w:p>
    <w:p w14:paraId="55997EED" w14:textId="77777777" w:rsidR="00527F5E" w:rsidRDefault="00000000">
      <w:pPr>
        <w:ind w:firstLine="0"/>
        <w:jc w:val="left"/>
        <w:rPr>
          <w:caps/>
          <w:sz w:val="20"/>
          <w:szCs w:val="20"/>
          <w:lang w:val="ro-RO"/>
        </w:rPr>
      </w:pPr>
      <w:r>
        <w:rPr>
          <w:caps/>
          <w:sz w:val="20"/>
          <w:szCs w:val="20"/>
          <w:lang w:val="ro-RO"/>
        </w:rPr>
        <w:t>Universitatea Tehnică din Cluj-Napoca</w:t>
      </w:r>
    </w:p>
    <w:p w14:paraId="7CA73D1C" w14:textId="77777777" w:rsidR="00527F5E" w:rsidRDefault="00000000">
      <w:pPr>
        <w:ind w:firstLine="0"/>
        <w:rPr>
          <w:sz w:val="20"/>
          <w:szCs w:val="20"/>
          <w:lang w:val="ro-RO"/>
        </w:rPr>
      </w:pPr>
      <w:r>
        <w:rPr>
          <w:sz w:val="20"/>
          <w:szCs w:val="20"/>
          <w:lang w:val="ro-RO"/>
        </w:rPr>
        <w:t>Facultatea de Științe din Baia Mare</w:t>
      </w:r>
    </w:p>
    <w:p w14:paraId="36E05468" w14:textId="77777777" w:rsidR="00527F5E" w:rsidRDefault="00000000">
      <w:pPr>
        <w:ind w:firstLine="0"/>
        <w:rPr>
          <w:sz w:val="20"/>
          <w:szCs w:val="20"/>
          <w:lang w:val="ro-RO"/>
        </w:rPr>
      </w:pPr>
      <w:r>
        <w:rPr>
          <w:sz w:val="20"/>
          <w:szCs w:val="20"/>
          <w:lang w:val="ro-RO"/>
        </w:rPr>
        <w:t>Specializarea: Economia Firmei</w:t>
      </w:r>
    </w:p>
    <w:p w14:paraId="5712EFB9" w14:textId="77777777" w:rsidR="00527F5E" w:rsidRDefault="00000000">
      <w:pPr>
        <w:ind w:firstLine="0"/>
        <w:rPr>
          <w:sz w:val="20"/>
          <w:szCs w:val="20"/>
          <w:lang w:val="ro-RO"/>
        </w:rPr>
      </w:pPr>
      <w:r>
        <w:rPr>
          <w:sz w:val="20"/>
          <w:szCs w:val="20"/>
          <w:lang w:val="ro-RO"/>
        </w:rPr>
        <w:t xml:space="preserve">Email: </w:t>
      </w:r>
      <w:hyperlink r:id="rId17" w:history="1">
        <w:r>
          <w:rPr>
            <w:rStyle w:val="Hyperlink"/>
            <w:sz w:val="20"/>
            <w:szCs w:val="20"/>
            <w:lang w:val="ro-RO"/>
          </w:rPr>
          <w:t>doragavris17@gmail.com</w:t>
        </w:r>
      </w:hyperlink>
    </w:p>
    <w:p w14:paraId="0C837329" w14:textId="77777777" w:rsidR="00527F5E" w:rsidRDefault="00527F5E">
      <w:pPr>
        <w:ind w:firstLine="0"/>
        <w:rPr>
          <w:sz w:val="20"/>
          <w:szCs w:val="20"/>
          <w:lang w:val="ro-RO"/>
        </w:rPr>
      </w:pPr>
    </w:p>
    <w:p w14:paraId="29E5B567" w14:textId="77777777" w:rsidR="00527F5E" w:rsidRDefault="00527F5E">
      <w:pPr>
        <w:ind w:firstLine="0"/>
        <w:rPr>
          <w:sz w:val="20"/>
          <w:szCs w:val="20"/>
          <w:lang w:val="ro-RO"/>
        </w:rPr>
      </w:pPr>
    </w:p>
    <w:p w14:paraId="6C6CEB29" w14:textId="77777777" w:rsidR="00527F5E" w:rsidRDefault="00000000">
      <w:pPr>
        <w:ind w:firstLine="0"/>
        <w:rPr>
          <w:smallCaps/>
          <w:sz w:val="20"/>
          <w:szCs w:val="20"/>
          <w:lang w:val="ro-RO"/>
        </w:rPr>
      </w:pPr>
      <w:r>
        <w:rPr>
          <w:smallCaps/>
          <w:sz w:val="20"/>
          <w:szCs w:val="20"/>
          <w:lang w:val="ro-RO"/>
        </w:rPr>
        <w:t>Blaga Diana Alina Nicoleta</w:t>
      </w:r>
    </w:p>
    <w:p w14:paraId="29866D52" w14:textId="77777777" w:rsidR="00527F5E" w:rsidRDefault="00000000">
      <w:pPr>
        <w:ind w:firstLine="0"/>
        <w:jc w:val="left"/>
        <w:rPr>
          <w:caps/>
          <w:sz w:val="20"/>
          <w:szCs w:val="20"/>
          <w:lang w:val="ro-RO"/>
        </w:rPr>
      </w:pPr>
      <w:r>
        <w:rPr>
          <w:caps/>
          <w:sz w:val="20"/>
          <w:szCs w:val="20"/>
          <w:lang w:val="ro-RO"/>
        </w:rPr>
        <w:t>Universitatea Tehnică din Cluj-Napoca</w:t>
      </w:r>
    </w:p>
    <w:p w14:paraId="251CAC25" w14:textId="77777777" w:rsidR="00527F5E" w:rsidRDefault="00000000">
      <w:pPr>
        <w:ind w:firstLine="0"/>
        <w:rPr>
          <w:sz w:val="20"/>
          <w:szCs w:val="20"/>
          <w:lang w:val="ro-RO"/>
        </w:rPr>
      </w:pPr>
      <w:r>
        <w:rPr>
          <w:sz w:val="20"/>
          <w:szCs w:val="20"/>
          <w:lang w:val="ro-RO"/>
        </w:rPr>
        <w:t>Facultatea de Științe din Baia Mare</w:t>
      </w:r>
    </w:p>
    <w:p w14:paraId="5804DA9C" w14:textId="77777777" w:rsidR="00527F5E" w:rsidRDefault="00000000">
      <w:pPr>
        <w:ind w:firstLine="0"/>
        <w:rPr>
          <w:sz w:val="20"/>
          <w:szCs w:val="20"/>
          <w:lang w:val="ro-RO"/>
        </w:rPr>
      </w:pPr>
      <w:r>
        <w:rPr>
          <w:sz w:val="20"/>
          <w:szCs w:val="20"/>
          <w:lang w:val="ro-RO"/>
        </w:rPr>
        <w:t>Specializarea: Economia Firmei</w:t>
      </w:r>
    </w:p>
    <w:p w14:paraId="4D438456" w14:textId="77777777" w:rsidR="00527F5E" w:rsidRDefault="00000000">
      <w:pPr>
        <w:ind w:firstLine="0"/>
        <w:rPr>
          <w:sz w:val="20"/>
          <w:szCs w:val="20"/>
          <w:lang w:val="ro-RO"/>
        </w:rPr>
      </w:pPr>
      <w:r>
        <w:rPr>
          <w:sz w:val="20"/>
          <w:szCs w:val="20"/>
          <w:lang w:val="ro-RO"/>
        </w:rPr>
        <w:t xml:space="preserve">Email: </w:t>
      </w:r>
      <w:hyperlink r:id="rId18" w:history="1">
        <w:r>
          <w:rPr>
            <w:rStyle w:val="Hyperlink"/>
            <w:sz w:val="20"/>
            <w:szCs w:val="20"/>
            <w:lang w:val="ro-RO"/>
          </w:rPr>
          <w:t>blagadianaalina25@gmail.com</w:t>
        </w:r>
      </w:hyperlink>
    </w:p>
    <w:p w14:paraId="3238C623" w14:textId="77777777" w:rsidR="00527F5E" w:rsidRDefault="00527F5E">
      <w:pPr>
        <w:ind w:firstLine="0"/>
        <w:rPr>
          <w:sz w:val="20"/>
          <w:szCs w:val="20"/>
          <w:lang w:val="ro-RO"/>
        </w:rPr>
      </w:pPr>
    </w:p>
    <w:p w14:paraId="25E0576F" w14:textId="77777777" w:rsidR="001514D8" w:rsidRDefault="001514D8">
      <w:pPr>
        <w:ind w:firstLine="0"/>
        <w:rPr>
          <w:sz w:val="20"/>
          <w:szCs w:val="20"/>
          <w:lang w:val="ro-RO"/>
        </w:rPr>
      </w:pPr>
      <w:r>
        <w:rPr>
          <w:sz w:val="20"/>
          <w:szCs w:val="20"/>
          <w:lang w:val="ro-RO"/>
        </w:rPr>
        <w:t>Coordonator:</w:t>
      </w:r>
    </w:p>
    <w:p w14:paraId="4715FFF6" w14:textId="5785BD8A" w:rsidR="00527F5E" w:rsidRDefault="001514D8">
      <w:pPr>
        <w:ind w:firstLine="0"/>
        <w:rPr>
          <w:sz w:val="20"/>
          <w:szCs w:val="20"/>
          <w:lang w:val="ro-RO"/>
        </w:rPr>
      </w:pPr>
      <w:r>
        <w:rPr>
          <w:sz w:val="20"/>
          <w:szCs w:val="20"/>
          <w:lang w:val="ro-RO"/>
        </w:rPr>
        <w:t>Lector univ.dr. SAFTA (PLEȘA) IOANA-LAVINIA</w:t>
      </w:r>
    </w:p>
    <w:p w14:paraId="320952A4" w14:textId="77777777" w:rsidR="00527F5E" w:rsidRDefault="00000000">
      <w:pPr>
        <w:ind w:firstLine="0"/>
        <w:rPr>
          <w:sz w:val="20"/>
          <w:szCs w:val="20"/>
          <w:lang w:val="ro-RO"/>
        </w:rPr>
      </w:pPr>
      <w:r>
        <w:rPr>
          <w:sz w:val="20"/>
          <w:szCs w:val="20"/>
          <w:lang w:val="ro-RO"/>
        </w:rPr>
        <w:t>UNIVERSITATEA TEHNICĂ DIN CLUJ-NAPOCA</w:t>
      </w:r>
    </w:p>
    <w:p w14:paraId="2AB421FD" w14:textId="77777777" w:rsidR="00527F5E" w:rsidRDefault="00000000">
      <w:pPr>
        <w:ind w:firstLine="0"/>
        <w:rPr>
          <w:sz w:val="20"/>
          <w:szCs w:val="20"/>
          <w:lang w:val="ro-RO"/>
        </w:rPr>
      </w:pPr>
      <w:r>
        <w:rPr>
          <w:sz w:val="20"/>
          <w:szCs w:val="20"/>
          <w:lang w:val="ro-RO"/>
        </w:rPr>
        <w:t>Facultatea de Științe din Baia Mare</w:t>
      </w:r>
    </w:p>
    <w:p w14:paraId="5B88BA87" w14:textId="77777777" w:rsidR="00527F5E" w:rsidRDefault="00000000">
      <w:pPr>
        <w:ind w:firstLine="0"/>
        <w:rPr>
          <w:sz w:val="20"/>
          <w:szCs w:val="20"/>
          <w:lang w:val="ro-RO"/>
        </w:rPr>
      </w:pPr>
      <w:r>
        <w:rPr>
          <w:sz w:val="20"/>
          <w:szCs w:val="20"/>
          <w:lang w:val="ro-RO"/>
        </w:rPr>
        <w:t>Email: lavinia_s15@yahoo.com</w:t>
      </w:r>
    </w:p>
    <w:p w14:paraId="2768C228" w14:textId="77777777" w:rsidR="00527F5E" w:rsidRDefault="00527F5E">
      <w:pPr>
        <w:ind w:firstLine="0"/>
        <w:rPr>
          <w:sz w:val="20"/>
          <w:szCs w:val="20"/>
          <w:lang w:val="ro-RO"/>
        </w:rPr>
      </w:pPr>
    </w:p>
    <w:p w14:paraId="78ED4EB2" w14:textId="77777777" w:rsidR="00527F5E" w:rsidRDefault="00527F5E">
      <w:pPr>
        <w:ind w:firstLine="0"/>
        <w:rPr>
          <w:lang w:val="ro-RO"/>
        </w:rPr>
      </w:pPr>
    </w:p>
    <w:p w14:paraId="42F0FE85" w14:textId="77777777" w:rsidR="00527F5E" w:rsidRDefault="00000000">
      <w:pPr>
        <w:ind w:firstLine="0"/>
        <w:rPr>
          <w:b/>
          <w:bCs/>
          <w:lang w:val="ro-RO"/>
        </w:rPr>
      </w:pPr>
      <w:r>
        <w:rPr>
          <w:lang w:val="ro-RO"/>
        </w:rPr>
        <w:br w:type="column"/>
      </w:r>
      <w:r>
        <w:rPr>
          <w:b/>
          <w:bCs/>
          <w:lang w:val="ro-RO"/>
        </w:rPr>
        <w:t>Abstract</w:t>
      </w:r>
    </w:p>
    <w:p w14:paraId="6315F811" w14:textId="4E67B292" w:rsidR="00527F5E" w:rsidRDefault="00CA6D70">
      <w:pPr>
        <w:ind w:firstLine="0"/>
        <w:rPr>
          <w:lang w:val="ro-RO"/>
        </w:rPr>
      </w:pPr>
      <w:r w:rsidRPr="00CA6D70">
        <w:rPr>
          <w:lang w:val="ro-RO"/>
        </w:rPr>
        <w:t>Studiul de față analizează dezvoltarea și provocările sistemului de protecție socială din România, cu accent pe serviciile oferite la nivel local. Cercetarea examinează rolul fundamental al organizațiilor non-guvernamentale în inițierea și dezvoltarea serviciilor sociale, precum și contribuția administrațiilor publice locale în procesul de descentralizare a acestora. Prin intermediul unei analize statistice și geospațiale a datelor actuale, investigația identifică disparitățile teritoriale în ceea ce privește accesibilitatea și calitatea serviciilor sociale, evaluând nivelul de satisfacție al beneficiarilor. Analiza evidențiază provocările majore cu care se confruntă sistemul actual, inclusiv inechitățile în distribuția geografică a serviciilor și diferențele în calitatea acestora. Concluziile subliniază necesitatea implementării unei abordări integrate și sustenabile, care să asigure echitatea, eficiența și calitatea în furnizarea serviciilor de protecție socială pentru toate categoriile de beneficiari. Prezenta cercetare propune recomandări pentru optimizarea colaborării între sectorul public și cel non-guvernamental în vederea îmbunătățirii sistemului de protecție socială la nivel național.</w:t>
      </w:r>
    </w:p>
    <w:p w14:paraId="5CDA7CBD" w14:textId="28F03FB0" w:rsidR="00527F5E" w:rsidRDefault="00000000">
      <w:pPr>
        <w:ind w:firstLine="0"/>
        <w:rPr>
          <w:b/>
          <w:bCs/>
          <w:lang w:val="ro-RO"/>
        </w:rPr>
      </w:pPr>
      <w:r>
        <w:rPr>
          <w:b/>
          <w:bCs/>
          <w:lang w:val="ro-RO"/>
        </w:rPr>
        <w:t>Cuvinte cheie:</w:t>
      </w:r>
      <w:r>
        <w:rPr>
          <w:lang w:val="ro-RO"/>
        </w:rPr>
        <w:t xml:space="preserve"> protecție socială, servicii sociale, administrație  locală, organizații </w:t>
      </w:r>
      <w:r w:rsidR="00CA6D70">
        <w:rPr>
          <w:lang w:val="ro-RO"/>
        </w:rPr>
        <w:t>non-guvernamentale</w:t>
      </w:r>
      <w:r>
        <w:rPr>
          <w:lang w:val="ro-RO"/>
        </w:rPr>
        <w:t>, justiție socială, descentralizare</w:t>
      </w:r>
    </w:p>
    <w:p w14:paraId="52B969DF" w14:textId="77777777" w:rsidR="00527F5E" w:rsidRDefault="00527F5E">
      <w:pPr>
        <w:ind w:firstLine="0"/>
        <w:rPr>
          <w:rStyle w:val="Emphasis"/>
          <w:rFonts w:ascii="Georgia Pro" w:hAnsi="Georgia Pro"/>
          <w:lang w:val="ro-RO"/>
        </w:rPr>
        <w:sectPr w:rsidR="00527F5E">
          <w:type w:val="continuous"/>
          <w:pgSz w:w="11906" w:h="16838"/>
          <w:pgMar w:top="1440" w:right="1080" w:bottom="1440" w:left="1080" w:header="720" w:footer="720" w:gutter="0"/>
          <w:cols w:num="2" w:sep="1" w:space="708" w:equalWidth="0">
            <w:col w:w="5103" w:space="397"/>
            <w:col w:w="4246"/>
          </w:cols>
          <w:docGrid w:linePitch="360"/>
        </w:sectPr>
      </w:pPr>
    </w:p>
    <w:p w14:paraId="2E1F7E3C" w14:textId="77777777" w:rsidR="00527F5E" w:rsidRDefault="00000000">
      <w:pPr>
        <w:rPr>
          <w:lang w:val="ro-RO"/>
        </w:rPr>
      </w:pPr>
      <w:r>
        <w:rPr>
          <w:noProof/>
        </w:rPr>
        <w:drawing>
          <wp:anchor distT="0" distB="0" distL="114300" distR="114300" simplePos="0" relativeHeight="251660288" behindDoc="0" locked="0" layoutInCell="1" allowOverlap="1" wp14:anchorId="35299375" wp14:editId="170ABFD4">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28700" cy="34290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126DF711" wp14:editId="1FAC12DB">
                <wp:simplePos x="0" y="0"/>
                <wp:positionH relativeFrom="column">
                  <wp:posOffset>-71755</wp:posOffset>
                </wp:positionH>
                <wp:positionV relativeFrom="paragraph">
                  <wp:posOffset>189230</wp:posOffset>
                </wp:positionV>
                <wp:extent cx="632015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65pt;margin-top:14.9pt;height:0pt;width:497.65pt;z-index:251661312;mso-width-relative:page;mso-height-relative:page;" filled="f" stroked="t" coordsize="21600,21600" o:gfxdata="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s1UEtcAAAAJAQAADwAAAAAAAAABACAA&#10;AAAiAAAAZHJzL2Rvd25yZXYueG1sUEsBAhQAFAAAAAgAh07iQPAt0u7VAQAAtAMAAA4AAAAAAAAA&#10;AQAgAAAAJgEAAGRycy9lMm9Eb2MueG1sUEsFBgAAAAAGAAYAWQEAAG0FAAAAAA==&#10;">
                <v:fill on="f" focussize="0,0"/>
                <v:stroke weight="0.5pt" color="#A5A5A5 [3206]" miterlimit="8" joinstyle="miter"/>
                <v:imagedata o:title=""/>
                <o:lock v:ext="edit" aspectratio="f"/>
              </v:line>
            </w:pict>
          </mc:Fallback>
        </mc:AlternateContent>
      </w:r>
    </w:p>
    <w:p w14:paraId="093A7EB2" w14:textId="28982DFC" w:rsidR="00527F5E" w:rsidRDefault="00BA25BC">
      <w:pPr>
        <w:pStyle w:val="Heading2"/>
        <w:rPr>
          <w:lang w:val="ro-RO"/>
        </w:rPr>
      </w:pPr>
      <w:bookmarkStart w:id="0" w:name="_Ref89192959"/>
      <w:r>
        <w:rPr>
          <w:lang w:val="ro-RO"/>
        </w:rPr>
        <w:t xml:space="preserve">           Introducere</w:t>
      </w:r>
      <w:bookmarkEnd w:id="0"/>
    </w:p>
    <w:p w14:paraId="241B1D4D" w14:textId="1B932EE4" w:rsidR="00527F5E" w:rsidRDefault="00000000">
      <w:pPr>
        <w:rPr>
          <w:sz w:val="24"/>
          <w:szCs w:val="24"/>
          <w:lang w:val="ro-RO"/>
        </w:rPr>
      </w:pPr>
      <w:r>
        <w:rPr>
          <w:sz w:val="24"/>
          <w:szCs w:val="24"/>
          <w:lang w:val="ro-RO"/>
        </w:rPr>
        <w:t xml:space="preserve">Serviciile sociale se plasează într-o perspectivă dinamică, deoarece </w:t>
      </w:r>
      <w:r w:rsidR="00CA6D70">
        <w:rPr>
          <w:sz w:val="24"/>
          <w:szCs w:val="24"/>
          <w:lang w:val="ro-RO"/>
        </w:rPr>
        <w:t>au rolul de mărire</w:t>
      </w:r>
      <w:r>
        <w:rPr>
          <w:sz w:val="24"/>
          <w:szCs w:val="24"/>
          <w:lang w:val="ro-RO"/>
        </w:rPr>
        <w:t xml:space="preserve"> permanent</w:t>
      </w:r>
      <w:r>
        <w:rPr>
          <w:rFonts w:cs="Georgia Pro"/>
          <w:sz w:val="24"/>
          <w:szCs w:val="24"/>
          <w:lang w:val="ro-RO"/>
        </w:rPr>
        <w:t>ă</w:t>
      </w:r>
      <w:r>
        <w:rPr>
          <w:sz w:val="24"/>
          <w:szCs w:val="24"/>
          <w:lang w:val="ro-RO"/>
        </w:rPr>
        <w:t xml:space="preserve"> a c</w:t>
      </w:r>
      <w:r>
        <w:rPr>
          <w:rFonts w:cs="Georgia Pro"/>
          <w:sz w:val="24"/>
          <w:szCs w:val="24"/>
          <w:lang w:val="ro-RO"/>
        </w:rPr>
        <w:t>â</w:t>
      </w:r>
      <w:r>
        <w:rPr>
          <w:sz w:val="24"/>
          <w:szCs w:val="24"/>
          <w:lang w:val="ro-RO"/>
        </w:rPr>
        <w:t>mpului lor de interven</w:t>
      </w:r>
      <w:r>
        <w:rPr>
          <w:rFonts w:cs="Cambria"/>
          <w:sz w:val="24"/>
          <w:szCs w:val="24"/>
          <w:lang w:val="ro-RO"/>
        </w:rPr>
        <w:t>ț</w:t>
      </w:r>
      <w:r>
        <w:rPr>
          <w:sz w:val="24"/>
          <w:szCs w:val="24"/>
          <w:lang w:val="ro-RO"/>
        </w:rPr>
        <w:t>ie. Datorit</w:t>
      </w:r>
      <w:r>
        <w:rPr>
          <w:rFonts w:cs="Georgia Pro"/>
          <w:sz w:val="24"/>
          <w:szCs w:val="24"/>
          <w:lang w:val="ro-RO"/>
        </w:rPr>
        <w:t>ă</w:t>
      </w:r>
      <w:r>
        <w:rPr>
          <w:sz w:val="24"/>
          <w:szCs w:val="24"/>
          <w:lang w:val="ro-RO"/>
        </w:rPr>
        <w:t xml:space="preserve"> complexit</w:t>
      </w:r>
      <w:r>
        <w:rPr>
          <w:rFonts w:cs="Georgia Pro"/>
          <w:sz w:val="24"/>
          <w:szCs w:val="24"/>
          <w:lang w:val="ro-RO"/>
        </w:rPr>
        <w:t>ă</w:t>
      </w:r>
      <w:r>
        <w:rPr>
          <w:rFonts w:cs="Cambria"/>
          <w:sz w:val="24"/>
          <w:szCs w:val="24"/>
          <w:lang w:val="ro-RO"/>
        </w:rPr>
        <w:t>ț</w:t>
      </w:r>
      <w:r>
        <w:rPr>
          <w:sz w:val="24"/>
          <w:szCs w:val="24"/>
          <w:lang w:val="ro-RO"/>
        </w:rPr>
        <w:t>ii lor, serviciile sociale apar</w:t>
      </w:r>
      <w:r>
        <w:rPr>
          <w:rFonts w:cs="Cambria"/>
          <w:sz w:val="24"/>
          <w:szCs w:val="24"/>
          <w:lang w:val="ro-RO"/>
        </w:rPr>
        <w:t>ț</w:t>
      </w:r>
      <w:r>
        <w:rPr>
          <w:sz w:val="24"/>
          <w:szCs w:val="24"/>
          <w:lang w:val="ro-RO"/>
        </w:rPr>
        <w:t>in domeniului larg al protec</w:t>
      </w:r>
      <w:r>
        <w:rPr>
          <w:rFonts w:cs="Cambria"/>
          <w:sz w:val="24"/>
          <w:szCs w:val="24"/>
          <w:lang w:val="ro-RO"/>
        </w:rPr>
        <w:t>ț</w:t>
      </w:r>
      <w:r>
        <w:rPr>
          <w:sz w:val="24"/>
          <w:szCs w:val="24"/>
          <w:lang w:val="ro-RO"/>
        </w:rPr>
        <w:t>iei sociale. Al</w:t>
      </w:r>
      <w:r>
        <w:rPr>
          <w:rFonts w:cs="Georgia Pro"/>
          <w:sz w:val="24"/>
          <w:szCs w:val="24"/>
          <w:lang w:val="ro-RO"/>
        </w:rPr>
        <w:t>ă</w:t>
      </w:r>
      <w:r>
        <w:rPr>
          <w:sz w:val="24"/>
          <w:szCs w:val="24"/>
          <w:lang w:val="ro-RO"/>
        </w:rPr>
        <w:t>turi de sistemul de presta</w:t>
      </w:r>
      <w:r>
        <w:rPr>
          <w:rFonts w:cs="Cambria"/>
          <w:sz w:val="24"/>
          <w:szCs w:val="24"/>
          <w:lang w:val="ro-RO"/>
        </w:rPr>
        <w:t>ț</w:t>
      </w:r>
      <w:r>
        <w:rPr>
          <w:sz w:val="24"/>
          <w:szCs w:val="24"/>
          <w:lang w:val="ro-RO"/>
        </w:rPr>
        <w:t>ii sociale, sistemul de servicii sociale a fost creat ca o form</w:t>
      </w:r>
      <w:r>
        <w:rPr>
          <w:rFonts w:cs="Georgia Pro"/>
          <w:sz w:val="24"/>
          <w:szCs w:val="24"/>
          <w:lang w:val="ro-RO"/>
        </w:rPr>
        <w:t>ă</w:t>
      </w:r>
      <w:r>
        <w:rPr>
          <w:sz w:val="24"/>
          <w:szCs w:val="24"/>
          <w:lang w:val="ro-RO"/>
        </w:rPr>
        <w:t xml:space="preserve"> de suport activ </w:t>
      </w:r>
      <w:r>
        <w:rPr>
          <w:rFonts w:cs="Cambria"/>
          <w:sz w:val="24"/>
          <w:szCs w:val="24"/>
          <w:lang w:val="ro-RO"/>
        </w:rPr>
        <w:t>ș</w:t>
      </w:r>
      <w:r>
        <w:rPr>
          <w:sz w:val="24"/>
          <w:szCs w:val="24"/>
          <w:lang w:val="ro-RO"/>
        </w:rPr>
        <w:t xml:space="preserve">i sprijin profesionalizat pentru individul, familia </w:t>
      </w:r>
      <w:r>
        <w:rPr>
          <w:rFonts w:cs="Cambria"/>
          <w:sz w:val="24"/>
          <w:szCs w:val="24"/>
          <w:lang w:val="ro-RO"/>
        </w:rPr>
        <w:t>ș</w:t>
      </w:r>
      <w:r>
        <w:rPr>
          <w:sz w:val="24"/>
          <w:szCs w:val="24"/>
          <w:lang w:val="ro-RO"/>
        </w:rPr>
        <w:t xml:space="preserve">i comunitatea aflate </w:t>
      </w:r>
      <w:r>
        <w:rPr>
          <w:rFonts w:cs="Georgia Pro"/>
          <w:sz w:val="24"/>
          <w:szCs w:val="24"/>
          <w:lang w:val="ro-RO"/>
        </w:rPr>
        <w:t>î</w:t>
      </w:r>
      <w:r>
        <w:rPr>
          <w:sz w:val="24"/>
          <w:szCs w:val="24"/>
          <w:lang w:val="ro-RO"/>
        </w:rPr>
        <w:t>n dificultate. Serviciile sociale, presta</w:t>
      </w:r>
      <w:r>
        <w:rPr>
          <w:rFonts w:cs="Cambria"/>
          <w:sz w:val="24"/>
          <w:szCs w:val="24"/>
          <w:lang w:val="ro-RO"/>
        </w:rPr>
        <w:t>ț</w:t>
      </w:r>
      <w:r>
        <w:rPr>
          <w:sz w:val="24"/>
          <w:szCs w:val="24"/>
          <w:lang w:val="ro-RO"/>
        </w:rPr>
        <w:t xml:space="preserve">iile sociale, precum </w:t>
      </w:r>
      <w:r>
        <w:rPr>
          <w:rFonts w:cs="Cambria"/>
          <w:sz w:val="24"/>
          <w:szCs w:val="24"/>
          <w:lang w:val="ro-RO"/>
        </w:rPr>
        <w:t>ș</w:t>
      </w:r>
      <w:r>
        <w:rPr>
          <w:sz w:val="24"/>
          <w:szCs w:val="24"/>
          <w:lang w:val="ro-RO"/>
        </w:rPr>
        <w:t>i sistemele de securitate social</w:t>
      </w:r>
      <w:r>
        <w:rPr>
          <w:rFonts w:cs="Georgia Pro"/>
          <w:sz w:val="24"/>
          <w:szCs w:val="24"/>
          <w:lang w:val="ro-RO"/>
        </w:rPr>
        <w:t>ă</w:t>
      </w:r>
      <w:r>
        <w:rPr>
          <w:sz w:val="24"/>
          <w:szCs w:val="24"/>
          <w:lang w:val="ro-RO"/>
        </w:rPr>
        <w:t xml:space="preserve"> intervin pentru solu</w:t>
      </w:r>
      <w:r>
        <w:rPr>
          <w:rFonts w:cs="Cambria"/>
          <w:sz w:val="24"/>
          <w:szCs w:val="24"/>
          <w:lang w:val="ro-RO"/>
        </w:rPr>
        <w:t>ț</w:t>
      </w:r>
      <w:r>
        <w:rPr>
          <w:sz w:val="24"/>
          <w:szCs w:val="24"/>
          <w:lang w:val="ro-RO"/>
        </w:rPr>
        <w:t>ionarea unor probleme poten</w:t>
      </w:r>
      <w:r>
        <w:rPr>
          <w:rFonts w:cs="Cambria"/>
          <w:sz w:val="24"/>
          <w:szCs w:val="24"/>
          <w:lang w:val="ro-RO"/>
        </w:rPr>
        <w:t>ț</w:t>
      </w:r>
      <w:r>
        <w:rPr>
          <w:sz w:val="24"/>
          <w:szCs w:val="24"/>
          <w:lang w:val="ro-RO"/>
        </w:rPr>
        <w:t>ial generatoare de excluziune social</w:t>
      </w:r>
      <w:r>
        <w:rPr>
          <w:rFonts w:cs="Georgia Pro"/>
          <w:sz w:val="24"/>
          <w:szCs w:val="24"/>
          <w:lang w:val="ro-RO"/>
        </w:rPr>
        <w:t>ă</w:t>
      </w:r>
      <w:r>
        <w:rPr>
          <w:sz w:val="24"/>
          <w:szCs w:val="24"/>
          <w:lang w:val="ro-RO"/>
        </w:rPr>
        <w:t xml:space="preserve">. </w:t>
      </w:r>
      <w:r>
        <w:rPr>
          <w:rFonts w:cs="Georgia Pro"/>
          <w:sz w:val="24"/>
          <w:szCs w:val="24"/>
          <w:lang w:val="ro-RO"/>
        </w:rPr>
        <w:t>Î</w:t>
      </w:r>
      <w:r>
        <w:rPr>
          <w:sz w:val="24"/>
          <w:szCs w:val="24"/>
          <w:lang w:val="ro-RO"/>
        </w:rPr>
        <w:t xml:space="preserve">n </w:t>
      </w:r>
      <w:r>
        <w:rPr>
          <w:rFonts w:cs="Cambria"/>
          <w:sz w:val="24"/>
          <w:szCs w:val="24"/>
          <w:lang w:val="ro-RO"/>
        </w:rPr>
        <w:t>ț</w:t>
      </w:r>
      <w:r>
        <w:rPr>
          <w:sz w:val="24"/>
          <w:szCs w:val="24"/>
          <w:lang w:val="ro-RO"/>
        </w:rPr>
        <w:t>ara noastr</w:t>
      </w:r>
      <w:r>
        <w:rPr>
          <w:rFonts w:cs="Georgia Pro"/>
          <w:sz w:val="24"/>
          <w:szCs w:val="24"/>
          <w:lang w:val="ro-RO"/>
        </w:rPr>
        <w:t>ă</w:t>
      </w:r>
      <w:r>
        <w:rPr>
          <w:sz w:val="24"/>
          <w:szCs w:val="24"/>
          <w:lang w:val="ro-RO"/>
        </w:rPr>
        <w:t xml:space="preserve">, serviciile sociale au </w:t>
      </w:r>
      <w:r>
        <w:rPr>
          <w:rFonts w:cs="Georgia Pro"/>
          <w:sz w:val="24"/>
          <w:szCs w:val="24"/>
          <w:lang w:val="ro-RO"/>
        </w:rPr>
        <w:t>î</w:t>
      </w:r>
      <w:r>
        <w:rPr>
          <w:sz w:val="24"/>
          <w:szCs w:val="24"/>
          <w:lang w:val="ro-RO"/>
        </w:rPr>
        <w:t>nceput s</w:t>
      </w:r>
      <w:r>
        <w:rPr>
          <w:rFonts w:cs="Georgia Pro"/>
          <w:sz w:val="24"/>
          <w:szCs w:val="24"/>
          <w:lang w:val="ro-RO"/>
        </w:rPr>
        <w:t>ă</w:t>
      </w:r>
      <w:r>
        <w:rPr>
          <w:sz w:val="24"/>
          <w:szCs w:val="24"/>
          <w:lang w:val="ro-RO"/>
        </w:rPr>
        <w:t xml:space="preserve"> fie </w:t>
      </w:r>
      <w:r>
        <w:rPr>
          <w:sz w:val="24"/>
          <w:szCs w:val="24"/>
          <w:lang w:val="ro-RO"/>
        </w:rPr>
        <w:lastRenderedPageBreak/>
        <w:t xml:space="preserve">dezvoltate doar </w:t>
      </w:r>
      <w:r>
        <w:rPr>
          <w:rFonts w:cs="Georgia Pro"/>
          <w:sz w:val="24"/>
          <w:szCs w:val="24"/>
          <w:lang w:val="ro-RO"/>
        </w:rPr>
        <w:t>î</w:t>
      </w:r>
      <w:r>
        <w:rPr>
          <w:sz w:val="24"/>
          <w:szCs w:val="24"/>
          <w:lang w:val="ro-RO"/>
        </w:rPr>
        <w:t xml:space="preserve">n ultimii ani. Majoritatea serviciilor sociale au fost </w:t>
      </w:r>
      <w:r>
        <w:rPr>
          <w:rFonts w:cs="Cambria"/>
          <w:sz w:val="24"/>
          <w:szCs w:val="24"/>
          <w:lang w:val="ro-RO"/>
        </w:rPr>
        <w:t>ș</w:t>
      </w:r>
      <w:r>
        <w:rPr>
          <w:sz w:val="24"/>
          <w:szCs w:val="24"/>
          <w:lang w:val="ro-RO"/>
        </w:rPr>
        <w:t>i sunt dezvoltate de organiza</w:t>
      </w:r>
      <w:r>
        <w:rPr>
          <w:rFonts w:cs="Cambria"/>
          <w:sz w:val="24"/>
          <w:szCs w:val="24"/>
          <w:lang w:val="ro-RO"/>
        </w:rPr>
        <w:t>ț</w:t>
      </w:r>
      <w:r>
        <w:rPr>
          <w:sz w:val="24"/>
          <w:szCs w:val="24"/>
          <w:lang w:val="ro-RO"/>
        </w:rPr>
        <w:t xml:space="preserve">ii neguvernamentale care au introdus modele conforme cu cele din </w:t>
      </w:r>
      <w:r>
        <w:rPr>
          <w:rFonts w:cs="Cambria"/>
          <w:sz w:val="24"/>
          <w:szCs w:val="24"/>
          <w:lang w:val="ro-RO"/>
        </w:rPr>
        <w:t>ț</w:t>
      </w:r>
      <w:r>
        <w:rPr>
          <w:sz w:val="24"/>
          <w:szCs w:val="24"/>
          <w:lang w:val="ro-RO"/>
        </w:rPr>
        <w:t>ara co-finan</w:t>
      </w:r>
      <w:r>
        <w:rPr>
          <w:rFonts w:cs="Cambria"/>
          <w:sz w:val="24"/>
          <w:szCs w:val="24"/>
          <w:lang w:val="ro-RO"/>
        </w:rPr>
        <w:t>ț</w:t>
      </w:r>
      <w:r>
        <w:rPr>
          <w:sz w:val="24"/>
          <w:szCs w:val="24"/>
          <w:lang w:val="ro-RO"/>
        </w:rPr>
        <w:t>atoare. Drept urmare, serviciile sociale erau acordate dup</w:t>
      </w:r>
      <w:r>
        <w:rPr>
          <w:rFonts w:cs="Georgia Pro"/>
          <w:sz w:val="24"/>
          <w:szCs w:val="24"/>
          <w:lang w:val="ro-RO"/>
        </w:rPr>
        <w:t>ă</w:t>
      </w:r>
      <w:r>
        <w:rPr>
          <w:sz w:val="24"/>
          <w:szCs w:val="24"/>
          <w:lang w:val="ro-RO"/>
        </w:rPr>
        <w:t xml:space="preserve"> proceduri </w:t>
      </w:r>
      <w:r>
        <w:rPr>
          <w:rFonts w:cs="Cambria"/>
          <w:sz w:val="24"/>
          <w:szCs w:val="24"/>
          <w:lang w:val="ro-RO"/>
        </w:rPr>
        <w:t>ș</w:t>
      </w:r>
      <w:r>
        <w:rPr>
          <w:sz w:val="24"/>
          <w:szCs w:val="24"/>
          <w:lang w:val="ro-RO"/>
        </w:rPr>
        <w:t>i metode diferite. Totodat</w:t>
      </w:r>
      <w:r>
        <w:rPr>
          <w:rFonts w:cs="Georgia Pro"/>
          <w:sz w:val="24"/>
          <w:szCs w:val="24"/>
          <w:lang w:val="ro-RO"/>
        </w:rPr>
        <w:t>ă</w:t>
      </w:r>
      <w:r>
        <w:rPr>
          <w:sz w:val="24"/>
          <w:szCs w:val="24"/>
          <w:lang w:val="ro-RO"/>
        </w:rPr>
        <w:t>, organizarea institu</w:t>
      </w:r>
      <w:r>
        <w:rPr>
          <w:rFonts w:cs="Cambria"/>
          <w:sz w:val="24"/>
          <w:szCs w:val="24"/>
          <w:lang w:val="ro-RO"/>
        </w:rPr>
        <w:t>ț</w:t>
      </w:r>
      <w:r>
        <w:rPr>
          <w:sz w:val="24"/>
          <w:szCs w:val="24"/>
          <w:lang w:val="ro-RO"/>
        </w:rPr>
        <w:t>ional</w:t>
      </w:r>
      <w:r>
        <w:rPr>
          <w:rFonts w:cs="Georgia Pro"/>
          <w:sz w:val="24"/>
          <w:szCs w:val="24"/>
          <w:lang w:val="ro-RO"/>
        </w:rPr>
        <w:t>ă</w:t>
      </w:r>
      <w:r>
        <w:rPr>
          <w:sz w:val="24"/>
          <w:szCs w:val="24"/>
          <w:lang w:val="ro-RO"/>
        </w:rPr>
        <w:t xml:space="preserve"> la nivel central, a influen</w:t>
      </w:r>
      <w:r>
        <w:rPr>
          <w:rFonts w:cs="Cambria"/>
          <w:sz w:val="24"/>
          <w:szCs w:val="24"/>
          <w:lang w:val="ro-RO"/>
        </w:rPr>
        <w:t>ț</w:t>
      </w:r>
      <w:r>
        <w:rPr>
          <w:sz w:val="24"/>
          <w:szCs w:val="24"/>
          <w:lang w:val="ro-RO"/>
        </w:rPr>
        <w:t>at</w:t>
      </w:r>
      <w:r>
        <w:rPr>
          <w:rFonts w:cs="Cambria"/>
          <w:sz w:val="24"/>
          <w:szCs w:val="24"/>
          <w:lang w:val="ro-RO"/>
        </w:rPr>
        <w:t>ș</w:t>
      </w:r>
      <w:r>
        <w:rPr>
          <w:sz w:val="24"/>
          <w:szCs w:val="24"/>
          <w:lang w:val="ro-RO"/>
        </w:rPr>
        <w:t xml:space="preserve">i elaborarea actelor normative, primele reglementări (cu caracter de lege) vizând categorii de beneficiari la nivel local, structurile create pentru a gestiona serviciile sociale, au fost fragmentate după modelul central, pe categorii de </w:t>
      </w:r>
      <w:r w:rsidR="00CA6D70">
        <w:rPr>
          <w:sz w:val="24"/>
          <w:szCs w:val="24"/>
          <w:lang w:val="ro-RO"/>
        </w:rPr>
        <w:t>consumatori.</w:t>
      </w:r>
    </w:p>
    <w:p w14:paraId="55A78619" w14:textId="739243EC" w:rsidR="005E0EBF" w:rsidRDefault="005E0EBF">
      <w:pPr>
        <w:rPr>
          <w:sz w:val="24"/>
          <w:szCs w:val="24"/>
          <w:lang w:val="ro-RO"/>
        </w:rPr>
      </w:pPr>
      <w:r w:rsidRPr="005E0EBF">
        <w:rPr>
          <w:sz w:val="24"/>
          <w:szCs w:val="24"/>
          <w:lang w:val="ro-RO"/>
        </w:rPr>
        <w:t>Furnizarea serviciilor primare la nivel comunitar este practic inexistentă (în funcție de faptul că acestea trebuie să continue să se dezvolte în cadrul de asistență socială), rețeaua de servicii specializată este încă ineficientă, iar prezența organizațiilor responsabile este limitată în cazul încălcării drepturilor copilului. Noua legislație privind promovarea și protecția drepturilor copiilor, care a fost în vigoare din 2005, a abuzat de etapele de reformă anterioare și a introdus noi caracteristici care ne aduc mai aproape de practicile țărilor industriale și în același timp, răspunde la fenomene care s-au dezvoltat în mare parte în ultimii ani (traficul de copii, abuz sexual în scop comercial, migrare). Schimbarea de la un sistem care a fost preocupat în primul rând de siguranța copiilor la unul care promovează și respectă drepturile pentru copii este astfel finalizată.</w:t>
      </w:r>
    </w:p>
    <w:p w14:paraId="6DB5B581" w14:textId="0BB3E2AC" w:rsidR="00527F5E" w:rsidRPr="002509F1" w:rsidRDefault="00BA25BC">
      <w:pPr>
        <w:pStyle w:val="Heading2"/>
        <w:rPr>
          <w:lang w:val="ro-RO"/>
        </w:rPr>
      </w:pPr>
      <w:r>
        <w:rPr>
          <w:lang w:val="ro-RO"/>
        </w:rPr>
        <w:t xml:space="preserve">           </w:t>
      </w:r>
      <w:r w:rsidRPr="002509F1">
        <w:rPr>
          <w:lang w:val="ro-RO"/>
        </w:rPr>
        <w:t>Revizuirea literaturii</w:t>
      </w:r>
    </w:p>
    <w:p w14:paraId="7FE36C58" w14:textId="60DCD3D5" w:rsidR="00527F5E" w:rsidRDefault="005E0EBF">
      <w:pPr>
        <w:rPr>
          <w:sz w:val="24"/>
          <w:szCs w:val="24"/>
          <w:lang w:val="ro-RO"/>
        </w:rPr>
      </w:pPr>
      <w:r w:rsidRPr="005E0EBF">
        <w:rPr>
          <w:sz w:val="24"/>
          <w:szCs w:val="24"/>
          <w:lang w:val="ro-RO"/>
        </w:rPr>
        <w:t>Sistemul de protecție socială din România a reprezentat un subiect de interes</w:t>
      </w:r>
      <w:r>
        <w:rPr>
          <w:sz w:val="24"/>
          <w:szCs w:val="24"/>
          <w:lang w:val="ro-RO"/>
        </w:rPr>
        <w:t xml:space="preserve"> mare</w:t>
      </w:r>
      <w:r w:rsidRPr="005E0EBF">
        <w:rPr>
          <w:sz w:val="24"/>
          <w:szCs w:val="24"/>
          <w:lang w:val="ro-RO"/>
        </w:rPr>
        <w:t xml:space="preserve"> în cercetarea științelor sociale, mai ales în contextul tranziției de la regimul comunist la cel democratic. Dincolo de reformele legislative și instituționale, cercetătorii au analizat fundamentele teoretice și impactul social al politicilor implementate. Studiul acestui domeniu evidențiază tensiunea dintre moștenirea istorică, nevoile sociale actuale și modelele occidentale adoptate în procesul de modernizare.</w:t>
      </w:r>
    </w:p>
    <w:p w14:paraId="0F71A9F5" w14:textId="4EE3CDD8" w:rsidR="00A34F2C" w:rsidRPr="00A34F2C" w:rsidRDefault="00A34F2C" w:rsidP="00A34F2C">
      <w:pPr>
        <w:rPr>
          <w:sz w:val="24"/>
          <w:szCs w:val="24"/>
          <w:lang w:val="ro-RO"/>
        </w:rPr>
      </w:pPr>
      <w:r w:rsidRPr="00A34F2C">
        <w:rPr>
          <w:sz w:val="24"/>
          <w:szCs w:val="24"/>
          <w:lang w:val="ro-RO"/>
        </w:rPr>
        <w:t xml:space="preserve">Printre pionierii cercetării în domeniul protecției sociale postdecembriste se numără Elena Zamfir </w:t>
      </w:r>
      <w:r w:rsidR="0037479D">
        <w:rPr>
          <w:sz w:val="24"/>
          <w:szCs w:val="24"/>
          <w:lang w:val="ro-RO"/>
        </w:rPr>
        <w:t>în volumul Dicționar de sociologie,</w:t>
      </w:r>
      <w:r w:rsidR="00BA25BC">
        <w:rPr>
          <w:sz w:val="24"/>
          <w:szCs w:val="24"/>
          <w:lang w:val="ro-RO"/>
        </w:rPr>
        <w:t xml:space="preserve"> </w:t>
      </w:r>
      <w:r w:rsidR="0037479D">
        <w:rPr>
          <w:sz w:val="24"/>
          <w:szCs w:val="24"/>
        </w:rPr>
        <w:t>[1]</w:t>
      </w:r>
      <w:r w:rsidR="00BA25BC" w:rsidRPr="00BA25BC">
        <w:rPr>
          <w:sz w:val="24"/>
          <w:szCs w:val="24"/>
          <w:lang w:val="ro-RO"/>
        </w:rPr>
        <w:t xml:space="preserve"> </w:t>
      </w:r>
      <w:r w:rsidR="00BA25BC" w:rsidRPr="00A34F2C">
        <w:rPr>
          <w:sz w:val="24"/>
          <w:szCs w:val="24"/>
          <w:lang w:val="ro-RO"/>
        </w:rPr>
        <w:t>defin</w:t>
      </w:r>
      <w:r w:rsidR="00BA25BC">
        <w:rPr>
          <w:sz w:val="24"/>
          <w:szCs w:val="24"/>
          <w:lang w:val="ro-RO"/>
        </w:rPr>
        <w:t>ind</w:t>
      </w:r>
      <w:r w:rsidR="00BA25BC" w:rsidRPr="00A34F2C">
        <w:rPr>
          <w:sz w:val="24"/>
          <w:szCs w:val="24"/>
          <w:lang w:val="ro-RO"/>
        </w:rPr>
        <w:t xml:space="preserve"> scopul principal al politicilor sociale ca fiind „asigurarea unui anumit nivel de satisfacere a nevoilor individuale și colective, nevoi care nu pot fi satisfăcute prin eforturi proprii sau prin intermediul pieței libere”</w:t>
      </w:r>
      <w:r w:rsidR="0037479D">
        <w:rPr>
          <w:sz w:val="24"/>
          <w:szCs w:val="24"/>
          <w:lang w:val="ro-RO"/>
        </w:rPr>
        <w:t>, respectiv</w:t>
      </w:r>
      <w:r w:rsidRPr="00A34F2C">
        <w:rPr>
          <w:sz w:val="24"/>
          <w:szCs w:val="24"/>
          <w:lang w:val="ro-RO"/>
        </w:rPr>
        <w:t xml:space="preserve"> </w:t>
      </w:r>
      <w:r w:rsidR="00DF7E2D">
        <w:rPr>
          <w:sz w:val="24"/>
          <w:szCs w:val="24"/>
          <w:lang w:val="ro-RO"/>
        </w:rPr>
        <w:t xml:space="preserve">cercetătorii </w:t>
      </w:r>
      <w:r w:rsidR="0037479D" w:rsidRPr="00A34F2C">
        <w:rPr>
          <w:sz w:val="24"/>
          <w:szCs w:val="24"/>
          <w:lang w:val="ro-RO"/>
        </w:rPr>
        <w:t xml:space="preserve">Elena Zamfir </w:t>
      </w:r>
      <w:r w:rsidR="0037479D">
        <w:rPr>
          <w:sz w:val="24"/>
          <w:szCs w:val="24"/>
          <w:lang w:val="ro-RO"/>
        </w:rPr>
        <w:t xml:space="preserve">și </w:t>
      </w:r>
      <w:r w:rsidRPr="00A34F2C">
        <w:rPr>
          <w:sz w:val="24"/>
          <w:szCs w:val="24"/>
          <w:lang w:val="ro-RO"/>
        </w:rPr>
        <w:t>Cătălin Zamfir</w:t>
      </w:r>
      <w:r>
        <w:rPr>
          <w:sz w:val="24"/>
          <w:szCs w:val="24"/>
          <w:lang w:val="ro-RO"/>
        </w:rPr>
        <w:t xml:space="preserve">, </w:t>
      </w:r>
      <w:r w:rsidRPr="00A34F2C">
        <w:rPr>
          <w:sz w:val="24"/>
          <w:szCs w:val="24"/>
          <w:lang w:val="ro-RO"/>
        </w:rPr>
        <w:t>în volumul Politici sociale</w:t>
      </w:r>
      <w:r w:rsidR="0037479D">
        <w:rPr>
          <w:sz w:val="24"/>
          <w:szCs w:val="24"/>
          <w:lang w:val="ro-RO"/>
        </w:rPr>
        <w:t>:</w:t>
      </w:r>
      <w:r w:rsidRPr="00A34F2C">
        <w:rPr>
          <w:sz w:val="24"/>
          <w:szCs w:val="24"/>
          <w:lang w:val="ro-RO"/>
        </w:rPr>
        <w:t xml:space="preserve"> România în context european,</w:t>
      </w:r>
      <w:r w:rsidR="00BA25BC">
        <w:rPr>
          <w:sz w:val="24"/>
          <w:szCs w:val="24"/>
          <w:lang w:val="ro-RO"/>
        </w:rPr>
        <w:t xml:space="preserve"> (1995), </w:t>
      </w:r>
      <w:r w:rsidR="0037479D">
        <w:rPr>
          <w:sz w:val="24"/>
          <w:szCs w:val="24"/>
        </w:rPr>
        <w:t>[2]</w:t>
      </w:r>
      <w:r>
        <w:rPr>
          <w:sz w:val="24"/>
          <w:szCs w:val="24"/>
          <w:lang w:val="ro-RO"/>
        </w:rPr>
        <w:t xml:space="preserve"> </w:t>
      </w:r>
      <w:r w:rsidR="00BA25BC">
        <w:rPr>
          <w:sz w:val="24"/>
          <w:szCs w:val="24"/>
          <w:lang w:val="ro-RO"/>
        </w:rPr>
        <w:t xml:space="preserve">volum în care autorii </w:t>
      </w:r>
      <w:r w:rsidRPr="00A34F2C">
        <w:rPr>
          <w:sz w:val="24"/>
          <w:szCs w:val="24"/>
          <w:lang w:val="ro-RO"/>
        </w:rPr>
        <w:t>examinează</w:t>
      </w:r>
      <w:r>
        <w:rPr>
          <w:sz w:val="24"/>
          <w:szCs w:val="24"/>
          <w:lang w:val="ro-RO"/>
        </w:rPr>
        <w:t xml:space="preserve"> </w:t>
      </w:r>
      <w:r w:rsidRPr="00A34F2C">
        <w:rPr>
          <w:sz w:val="24"/>
          <w:szCs w:val="24"/>
          <w:lang w:val="ro-RO"/>
        </w:rPr>
        <w:t>structura și funcțiile sistemului de protecție socială într-un cadru comparativ european. Această abordare</w:t>
      </w:r>
      <w:r>
        <w:rPr>
          <w:sz w:val="24"/>
          <w:szCs w:val="24"/>
          <w:lang w:val="ro-RO"/>
        </w:rPr>
        <w:t xml:space="preserve"> </w:t>
      </w:r>
      <w:r w:rsidRPr="00A34F2C">
        <w:rPr>
          <w:sz w:val="24"/>
          <w:szCs w:val="24"/>
          <w:lang w:val="ro-RO"/>
        </w:rPr>
        <w:t>oglindește</w:t>
      </w:r>
      <w:r>
        <w:rPr>
          <w:sz w:val="24"/>
          <w:szCs w:val="24"/>
          <w:lang w:val="ro-RO"/>
        </w:rPr>
        <w:t xml:space="preserve"> </w:t>
      </w:r>
      <w:r w:rsidRPr="00A34F2C">
        <w:rPr>
          <w:sz w:val="24"/>
          <w:szCs w:val="24"/>
          <w:lang w:val="ro-RO"/>
        </w:rPr>
        <w:t>o viziune funcționalistă asupra statului social, în care intervenția publică este legitimă și necesară pentru gestionarea riscurilor sociale și compensarea eșecurilor pieței.</w:t>
      </w:r>
    </w:p>
    <w:p w14:paraId="1691C644" w14:textId="576C11C2" w:rsidR="00A34F2C" w:rsidRPr="00A34F2C" w:rsidRDefault="00A34F2C" w:rsidP="00A34F2C">
      <w:pPr>
        <w:rPr>
          <w:sz w:val="24"/>
          <w:szCs w:val="24"/>
          <w:lang w:val="ro-RO"/>
        </w:rPr>
      </w:pPr>
      <w:r w:rsidRPr="00A34F2C">
        <w:rPr>
          <w:sz w:val="24"/>
          <w:szCs w:val="24"/>
          <w:lang w:val="ro-RO"/>
        </w:rPr>
        <w:t xml:space="preserve">Un alt aspect important al reformei în domeniul protecției sociale îl constituie descentralizarea și implicarea administrației publice locale. </w:t>
      </w:r>
      <w:r w:rsidR="00BA25BC">
        <w:rPr>
          <w:sz w:val="24"/>
          <w:szCs w:val="24"/>
          <w:lang w:val="ro-RO"/>
        </w:rPr>
        <w:t>Î</w:t>
      </w:r>
      <w:r w:rsidRPr="00A34F2C">
        <w:rPr>
          <w:sz w:val="24"/>
          <w:szCs w:val="24"/>
          <w:lang w:val="ro-RO"/>
        </w:rPr>
        <w:t>n lucrarea Asistența socială în România (2004),</w:t>
      </w:r>
      <w:r>
        <w:rPr>
          <w:sz w:val="24"/>
          <w:szCs w:val="24"/>
          <w:lang w:val="ro-RO"/>
        </w:rPr>
        <w:t xml:space="preserve"> autorii</w:t>
      </w:r>
      <w:r w:rsidRPr="00A34F2C">
        <w:rPr>
          <w:sz w:val="24"/>
          <w:szCs w:val="24"/>
          <w:lang w:val="ro-RO"/>
        </w:rPr>
        <w:t xml:space="preserve"> Florin Pașa și Luminița Mihaela Pașa oferă o analiză a instituționalizării serviciilor sociale la nivel local și central. Ei subliniază că „</w:t>
      </w:r>
      <w:r>
        <w:rPr>
          <w:sz w:val="24"/>
          <w:szCs w:val="24"/>
          <w:lang w:val="ro-RO"/>
        </w:rPr>
        <w:t>U</w:t>
      </w:r>
      <w:r w:rsidRPr="00A34F2C">
        <w:rPr>
          <w:sz w:val="24"/>
          <w:szCs w:val="24"/>
          <w:lang w:val="ro-RO"/>
        </w:rPr>
        <w:t>n rol esențial în aplicarea reformei sociale în România îl are administrația publică locală, care acționează în parteneriat cu profesioniștii asistenței sociale”</w:t>
      </w:r>
      <w:r w:rsidR="001514D8">
        <w:rPr>
          <w:sz w:val="24"/>
          <w:szCs w:val="24"/>
          <w:lang w:val="ro-RO"/>
        </w:rPr>
        <w:t xml:space="preserve"> </w:t>
      </w:r>
      <w:r w:rsidR="001514D8">
        <w:rPr>
          <w:sz w:val="24"/>
          <w:szCs w:val="24"/>
        </w:rPr>
        <w:t>[</w:t>
      </w:r>
      <w:r w:rsidR="00BA25BC">
        <w:rPr>
          <w:sz w:val="24"/>
          <w:szCs w:val="24"/>
        </w:rPr>
        <w:t>3</w:t>
      </w:r>
      <w:r w:rsidR="001514D8">
        <w:rPr>
          <w:sz w:val="24"/>
          <w:szCs w:val="24"/>
        </w:rPr>
        <w:t>]</w:t>
      </w:r>
      <w:r w:rsidRPr="00A34F2C">
        <w:rPr>
          <w:sz w:val="24"/>
          <w:szCs w:val="24"/>
          <w:lang w:val="ro-RO"/>
        </w:rPr>
        <w:t>. Această</w:t>
      </w:r>
      <w:r>
        <w:rPr>
          <w:sz w:val="24"/>
          <w:szCs w:val="24"/>
          <w:lang w:val="ro-RO"/>
        </w:rPr>
        <w:t xml:space="preserve"> </w:t>
      </w:r>
      <w:r w:rsidRPr="00A34F2C">
        <w:rPr>
          <w:sz w:val="24"/>
          <w:szCs w:val="24"/>
          <w:lang w:val="ro-RO"/>
        </w:rPr>
        <w:t>perspectivă</w:t>
      </w:r>
      <w:r>
        <w:rPr>
          <w:sz w:val="24"/>
          <w:szCs w:val="24"/>
          <w:lang w:val="ro-RO"/>
        </w:rPr>
        <w:t xml:space="preserve"> </w:t>
      </w:r>
      <w:r w:rsidRPr="00A34F2C">
        <w:rPr>
          <w:sz w:val="24"/>
          <w:szCs w:val="24"/>
          <w:lang w:val="ro-RO"/>
        </w:rPr>
        <w:t>pune accent pe parteneriatul dintre sectorul public și cel profesional, dar și pe necesitatea adaptării serviciilor sociale la specificul comunităților locale</w:t>
      </w:r>
      <w:r>
        <w:rPr>
          <w:sz w:val="24"/>
          <w:szCs w:val="24"/>
          <w:lang w:val="ro-RO"/>
        </w:rPr>
        <w:t>, după cerințele consumatorilor</w:t>
      </w:r>
      <w:r w:rsidRPr="00A34F2C">
        <w:rPr>
          <w:sz w:val="24"/>
          <w:szCs w:val="24"/>
          <w:lang w:val="ro-RO"/>
        </w:rPr>
        <w:t>.</w:t>
      </w:r>
    </w:p>
    <w:p w14:paraId="3D77748C" w14:textId="77777777" w:rsidR="00A34F2C" w:rsidRPr="00A34F2C" w:rsidRDefault="00A34F2C" w:rsidP="00A34F2C">
      <w:pPr>
        <w:ind w:firstLine="0"/>
        <w:rPr>
          <w:sz w:val="24"/>
          <w:szCs w:val="24"/>
          <w:lang w:val="ro-RO"/>
        </w:rPr>
      </w:pPr>
    </w:p>
    <w:p w14:paraId="34281E05" w14:textId="53D97607" w:rsidR="00A34F2C" w:rsidRDefault="00A34F2C" w:rsidP="00A34F2C">
      <w:pPr>
        <w:rPr>
          <w:sz w:val="24"/>
          <w:szCs w:val="24"/>
          <w:lang w:val="ro-RO"/>
        </w:rPr>
      </w:pPr>
      <w:r w:rsidRPr="00A34F2C">
        <w:rPr>
          <w:sz w:val="24"/>
          <w:szCs w:val="24"/>
          <w:lang w:val="ro-RO"/>
        </w:rPr>
        <w:t xml:space="preserve">Pe lângă abordările funcționaliste și instituționale, un alt unghi relevant este cel oferit de Vasile Miftode, în </w:t>
      </w:r>
      <w:r w:rsidR="00BA25BC">
        <w:rPr>
          <w:sz w:val="24"/>
          <w:szCs w:val="24"/>
          <w:lang w:val="ro-RO"/>
        </w:rPr>
        <w:t>T</w:t>
      </w:r>
      <w:r w:rsidRPr="00A34F2C">
        <w:rPr>
          <w:sz w:val="24"/>
          <w:szCs w:val="24"/>
          <w:lang w:val="ro-RO"/>
        </w:rPr>
        <w:t xml:space="preserve">ratat de asistență socială. Protecția populațiilor specifice și automarginalizate </w:t>
      </w:r>
      <w:r w:rsidR="00DF7E2D">
        <w:rPr>
          <w:sz w:val="24"/>
          <w:szCs w:val="24"/>
        </w:rPr>
        <w:t>[4]</w:t>
      </w:r>
      <w:r w:rsidRPr="00A34F2C">
        <w:rPr>
          <w:sz w:val="24"/>
          <w:szCs w:val="24"/>
          <w:lang w:val="ro-RO"/>
        </w:rPr>
        <w:t>,</w:t>
      </w:r>
      <w:r>
        <w:rPr>
          <w:sz w:val="24"/>
          <w:szCs w:val="24"/>
          <w:lang w:val="ro-RO"/>
        </w:rPr>
        <w:t xml:space="preserve"> </w:t>
      </w:r>
      <w:r w:rsidRPr="00A34F2C">
        <w:rPr>
          <w:sz w:val="24"/>
          <w:szCs w:val="24"/>
          <w:lang w:val="ro-RO"/>
        </w:rPr>
        <w:t>contrazice</w:t>
      </w:r>
      <w:r>
        <w:rPr>
          <w:sz w:val="24"/>
          <w:szCs w:val="24"/>
          <w:lang w:val="ro-RO"/>
        </w:rPr>
        <w:t xml:space="preserve"> </w:t>
      </w:r>
      <w:r w:rsidRPr="00A34F2C">
        <w:rPr>
          <w:sz w:val="24"/>
          <w:szCs w:val="24"/>
          <w:lang w:val="ro-RO"/>
        </w:rPr>
        <w:t xml:space="preserve">ideea conform căreia protecția socială în România ar fi un produs exclusiv al perioadei postcomuniste. El afirmă: „Există opinia că asistenţa socială în </w:t>
      </w:r>
      <w:r w:rsidRPr="00A34F2C">
        <w:rPr>
          <w:sz w:val="24"/>
          <w:szCs w:val="24"/>
          <w:lang w:val="ro-RO"/>
        </w:rPr>
        <w:lastRenderedPageBreak/>
        <w:t>România ar fi fost ‘lansată’ după Revoluţia din '89; [...] Nimic mai fals, mai ales dacă ne raportăm la epoca tradiţiilor pre-comuniste, la valorile şi la ‘mecanismele comunitare’ care funcţionau în spaţiul social românesc”. Această perspectivă aduce în discuție continuitatea istorică a solidarității comunitare, plasând protecția socială într-un context mai larg, ce include formele tradiționale și informale de sprijin</w:t>
      </w:r>
      <w:r>
        <w:rPr>
          <w:sz w:val="24"/>
          <w:szCs w:val="24"/>
          <w:lang w:val="ro-RO"/>
        </w:rPr>
        <w:t>.</w:t>
      </w:r>
    </w:p>
    <w:p w14:paraId="52C07A55" w14:textId="7BB9A999" w:rsidR="00527F5E" w:rsidRPr="00454B16" w:rsidRDefault="00BA25BC">
      <w:pPr>
        <w:pStyle w:val="Heading2"/>
        <w:rPr>
          <w:lang w:val="ro-RO"/>
        </w:rPr>
      </w:pPr>
      <w:r>
        <w:rPr>
          <w:lang w:val="ro-RO"/>
        </w:rPr>
        <w:t xml:space="preserve">           </w:t>
      </w:r>
      <w:r w:rsidRPr="00454B16">
        <w:rPr>
          <w:lang w:val="ro-RO"/>
        </w:rPr>
        <w:t>Metodologie</w:t>
      </w:r>
    </w:p>
    <w:p w14:paraId="729480CA" w14:textId="74B4A2C1" w:rsidR="00B47715" w:rsidRPr="00B47715" w:rsidRDefault="00B47715" w:rsidP="00B47715">
      <w:pPr>
        <w:rPr>
          <w:lang w:val="ro-RO"/>
        </w:rPr>
      </w:pPr>
      <w:r w:rsidRPr="00B47715">
        <w:rPr>
          <w:lang w:val="ro-RO"/>
        </w:rPr>
        <w:t xml:space="preserve">Cercetarea utilizează date din trei surse principale: Eurostat pentru statisticile comparative europene privind sistemele de pensii, Asociația pentru Pensiile Administrate Privat din România </w:t>
      </w:r>
      <w:bookmarkStart w:id="1" w:name="_Hlk199276463"/>
      <w:r w:rsidRPr="00B47715">
        <w:rPr>
          <w:lang w:val="ro-RO"/>
        </w:rPr>
        <w:t xml:space="preserve">(APAPR) </w:t>
      </w:r>
      <w:bookmarkEnd w:id="1"/>
      <w:r w:rsidRPr="00B47715">
        <w:rPr>
          <w:lang w:val="ro-RO"/>
        </w:rPr>
        <w:t>pentru informații specifice Pilonului II, și Banca Națională a României pentru indicatorii macroeconomici. Datele sunt colectate pentru perioada 2008-2023, acoperind întreaga evoluție a sistemului de pensii private românesc. Fișierele Excel descărcate de pe aceste platforme sunt standardizate și curățate pentru a elimina inconsistențele și valorile lipsă. Procesarea include convertirea în formate uniforme, verificarea validității datelor prin compararea între surse și calculul indicatorilor derivați precum ratele de creștere și randamentele reale ajustate cu inflația. Baza de date finală este structurată în Excel cu foi separate pentru fiecare sursă și indicator analizat. Analiza se realizează prin metode descriptive și comparative. Evoluția temporală este analizată prin grafice liniare și calculul trendurilor, iar comparațiile internaționale sunt realizate prin poziționarea României față de media UE și țările similare din regiune. Impactul factorilor macroeconomici asupra performanței pensiilor private este evaluat prin analiza corelațiilor cu PIB-ul, inflația și ratele de ocupare. Rezultatele sunt sintetizate în tabele și vizualizări grafice care evidențiază principalele tendințe și concluzii.</w:t>
      </w:r>
    </w:p>
    <w:p w14:paraId="7D96FF25" w14:textId="77777777" w:rsidR="00B47715" w:rsidRPr="00B47715" w:rsidRDefault="00B47715" w:rsidP="00B47715">
      <w:pPr>
        <w:rPr>
          <w:lang w:val="ro-RO"/>
        </w:rPr>
      </w:pPr>
    </w:p>
    <w:p w14:paraId="29257EF7" w14:textId="550205B8" w:rsidR="008D7BB5" w:rsidRPr="00454B16" w:rsidRDefault="00BA25BC" w:rsidP="008D7BB5">
      <w:pPr>
        <w:ind w:firstLine="0"/>
        <w:rPr>
          <w:b/>
          <w:bCs/>
          <w:sz w:val="26"/>
          <w:szCs w:val="26"/>
          <w:lang w:val="ro-RO"/>
        </w:rPr>
      </w:pPr>
      <w:r>
        <w:rPr>
          <w:b/>
          <w:bCs/>
          <w:sz w:val="26"/>
          <w:szCs w:val="26"/>
          <w:lang w:val="ro-RO"/>
        </w:rPr>
        <w:t xml:space="preserve">          </w:t>
      </w:r>
      <w:r w:rsidR="008D7BB5" w:rsidRPr="00454B16">
        <w:rPr>
          <w:b/>
          <w:bCs/>
          <w:sz w:val="26"/>
          <w:szCs w:val="26"/>
          <w:lang w:val="ro-RO"/>
        </w:rPr>
        <w:t>Rezultate</w:t>
      </w:r>
    </w:p>
    <w:p w14:paraId="2F6F3996" w14:textId="3EEBA971" w:rsidR="00A34F2C" w:rsidRDefault="00A34F2C" w:rsidP="00A34F2C">
      <w:pPr>
        <w:rPr>
          <w:lang w:val="ro-RO"/>
        </w:rPr>
      </w:pPr>
    </w:p>
    <w:p w14:paraId="700CEEC8" w14:textId="77777777" w:rsidR="00527F5E" w:rsidRDefault="00000000">
      <w:pPr>
        <w:rPr>
          <w:lang w:val="ro-RO"/>
        </w:rPr>
      </w:pPr>
      <w:r>
        <w:rPr>
          <w:noProof/>
        </w:rPr>
        <w:drawing>
          <wp:inline distT="0" distB="0" distL="0" distR="0" wp14:anchorId="275C2092" wp14:editId="145A3FAF">
            <wp:extent cx="4572000" cy="2743200"/>
            <wp:effectExtent l="0" t="0" r="0" b="0"/>
            <wp:docPr id="2996494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E57CF0E" w14:textId="77777777" w:rsidR="00527F5E" w:rsidRDefault="00000000">
      <w:pPr>
        <w:rPr>
          <w:sz w:val="24"/>
          <w:szCs w:val="24"/>
          <w:lang w:val="ro-RO"/>
        </w:rPr>
      </w:pPr>
      <w:r>
        <w:rPr>
          <w:sz w:val="24"/>
          <w:szCs w:val="24"/>
          <w:lang w:val="ro-RO"/>
        </w:rPr>
        <w:t>Figura 1. Evoluția ratei de înlocuire în România</w:t>
      </w:r>
    </w:p>
    <w:p w14:paraId="39AF35BC" w14:textId="63C8E4C0" w:rsidR="00527F5E" w:rsidRDefault="00000000">
      <w:pPr>
        <w:rPr>
          <w:sz w:val="24"/>
          <w:szCs w:val="24"/>
          <w:lang w:val="ro-RO"/>
        </w:rPr>
      </w:pPr>
      <w:r>
        <w:rPr>
          <w:sz w:val="24"/>
          <w:szCs w:val="24"/>
          <w:lang w:val="ro-RO"/>
        </w:rPr>
        <w:t>Sursa datelor: Eurostat</w:t>
      </w:r>
    </w:p>
    <w:p w14:paraId="71C6932C" w14:textId="1F3FA153" w:rsidR="00A2144D" w:rsidRDefault="00A2144D">
      <w:pPr>
        <w:rPr>
          <w:sz w:val="24"/>
          <w:szCs w:val="24"/>
          <w:lang w:val="ro-RO"/>
        </w:rPr>
      </w:pPr>
      <w:r>
        <w:rPr>
          <w:sz w:val="24"/>
          <w:szCs w:val="24"/>
          <w:lang w:val="ro-RO"/>
        </w:rPr>
        <w:t>În aceasta figură rata evoluției de înlocuire în România a scăzut din 2014 până  în 2019, iar după a început din nou să crească, ajungand în anul 2023 la 48%.</w:t>
      </w:r>
    </w:p>
    <w:p w14:paraId="11AD4BA2" w14:textId="77777777" w:rsidR="00527F5E" w:rsidRDefault="00527F5E">
      <w:pPr>
        <w:rPr>
          <w:lang w:val="ro-RO"/>
        </w:rPr>
      </w:pPr>
    </w:p>
    <w:p w14:paraId="403B53A1" w14:textId="77777777" w:rsidR="00527F5E" w:rsidRDefault="00000000">
      <w:pPr>
        <w:rPr>
          <w:lang w:val="ro-RO"/>
        </w:rPr>
      </w:pPr>
      <w:r>
        <w:rPr>
          <w:noProof/>
        </w:rPr>
        <w:lastRenderedPageBreak/>
        <w:drawing>
          <wp:inline distT="0" distB="0" distL="0" distR="0" wp14:anchorId="6549CA5A" wp14:editId="5AE4DE39">
            <wp:extent cx="4572000" cy="2743200"/>
            <wp:effectExtent l="0" t="0" r="0" b="0"/>
            <wp:docPr id="18222555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040FCB" w14:textId="77777777" w:rsidR="00527F5E" w:rsidRDefault="00000000">
      <w:pPr>
        <w:rPr>
          <w:sz w:val="24"/>
          <w:szCs w:val="24"/>
          <w:lang w:val="ro-RO"/>
        </w:rPr>
      </w:pPr>
      <w:r>
        <w:rPr>
          <w:sz w:val="24"/>
          <w:szCs w:val="24"/>
          <w:lang w:val="ro-RO"/>
        </w:rPr>
        <w:t>Figura 2. Rata de înlocuire în țările din Europa, 2022</w:t>
      </w:r>
    </w:p>
    <w:p w14:paraId="19DEC374" w14:textId="2CFC72D7" w:rsidR="00527F5E" w:rsidRDefault="00000000">
      <w:pPr>
        <w:rPr>
          <w:sz w:val="24"/>
          <w:szCs w:val="24"/>
          <w:lang w:val="ro-RO"/>
        </w:rPr>
      </w:pPr>
      <w:r>
        <w:rPr>
          <w:sz w:val="24"/>
          <w:szCs w:val="24"/>
          <w:lang w:val="ro-RO"/>
        </w:rPr>
        <w:t>Sursa datelor: Eurostat</w:t>
      </w:r>
    </w:p>
    <w:p w14:paraId="040464DC" w14:textId="7E80AAE1" w:rsidR="00F94517" w:rsidRPr="00454B16" w:rsidRDefault="00F94517">
      <w:pPr>
        <w:rPr>
          <w:sz w:val="24"/>
          <w:szCs w:val="24"/>
          <w:lang w:val="ro-RO"/>
        </w:rPr>
      </w:pPr>
      <w:r w:rsidRPr="00454B16">
        <w:rPr>
          <w:sz w:val="24"/>
          <w:szCs w:val="24"/>
          <w:lang w:val="ro-RO"/>
        </w:rPr>
        <w:t>Se observă că România are o rată de înlocuire de 52%, mai mică decât la țări precum Italia, Franța, Suedia, dar mai mare față de țări precum Croația, Belgia, sau Germania, etc.</w:t>
      </w:r>
    </w:p>
    <w:p w14:paraId="11FCF16A" w14:textId="77777777" w:rsidR="00527F5E" w:rsidRDefault="00527F5E">
      <w:pPr>
        <w:rPr>
          <w:lang w:val="ro-RO"/>
        </w:rPr>
      </w:pPr>
    </w:p>
    <w:p w14:paraId="2FC632CB" w14:textId="77777777" w:rsidR="00527F5E" w:rsidRDefault="00000000">
      <w:pPr>
        <w:rPr>
          <w:lang w:val="ro-RO"/>
        </w:rPr>
      </w:pPr>
      <w:r>
        <w:rPr>
          <w:noProof/>
        </w:rPr>
        <w:drawing>
          <wp:inline distT="0" distB="0" distL="0" distR="0" wp14:anchorId="192E1065" wp14:editId="1737A472">
            <wp:extent cx="6188710" cy="2165985"/>
            <wp:effectExtent l="0" t="0" r="2540" b="5715"/>
            <wp:docPr id="111593926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19773EE" w14:textId="77777777" w:rsidR="00527F5E" w:rsidRDefault="00000000">
      <w:pPr>
        <w:rPr>
          <w:sz w:val="24"/>
          <w:szCs w:val="24"/>
          <w:lang w:val="ro-RO"/>
        </w:rPr>
      </w:pPr>
      <w:r>
        <w:rPr>
          <w:sz w:val="24"/>
          <w:szCs w:val="24"/>
          <w:lang w:val="ro-RO"/>
        </w:rPr>
        <w:t>Figura 3. Randamentul cumulat vs. Inflație cumulată Pilonul II – pe toată perioada (2007 = 100)</w:t>
      </w:r>
    </w:p>
    <w:p w14:paraId="0A4757AB" w14:textId="73EF26A6" w:rsidR="00527F5E" w:rsidRDefault="00000000">
      <w:pPr>
        <w:rPr>
          <w:sz w:val="24"/>
          <w:szCs w:val="24"/>
          <w:lang w:val="ro-RO"/>
        </w:rPr>
      </w:pPr>
      <w:bookmarkStart w:id="2" w:name="_Hlk199162314"/>
      <w:r>
        <w:rPr>
          <w:sz w:val="24"/>
          <w:szCs w:val="24"/>
          <w:lang w:val="ro-RO"/>
        </w:rPr>
        <w:t xml:space="preserve">Sursa datelor: Asociația pentru pensiile administrate privat din România, </w:t>
      </w:r>
      <w:r w:rsidR="00F94517" w:rsidRPr="00B47715">
        <w:rPr>
          <w:lang w:val="ro-RO"/>
        </w:rPr>
        <w:t xml:space="preserve">(APAPR) </w:t>
      </w:r>
      <w:r>
        <w:rPr>
          <w:sz w:val="24"/>
          <w:szCs w:val="24"/>
          <w:lang w:val="ro-RO"/>
        </w:rPr>
        <w:t>BNS</w:t>
      </w:r>
    </w:p>
    <w:bookmarkEnd w:id="2"/>
    <w:p w14:paraId="6DFAE54E" w14:textId="6D6E4264" w:rsidR="00527F5E" w:rsidRPr="00454B16" w:rsidRDefault="00F94517">
      <w:pPr>
        <w:rPr>
          <w:sz w:val="24"/>
          <w:szCs w:val="24"/>
          <w:lang w:val="ro-RO"/>
        </w:rPr>
      </w:pPr>
      <w:r w:rsidRPr="00454B16">
        <w:rPr>
          <w:sz w:val="24"/>
          <w:szCs w:val="24"/>
          <w:lang w:val="ro-RO"/>
        </w:rPr>
        <w:t xml:space="preserve">Din analiza graficului prezentat, rezultă că la Pilonul II de pensii, rata inflației nu a depășit randamentul cumulat, decât o singură dată, în anul 2008, iar în ultimii ani este o diferență semnificativă între </w:t>
      </w:r>
      <w:r w:rsidR="005D0E91" w:rsidRPr="00454B16">
        <w:rPr>
          <w:sz w:val="24"/>
          <w:szCs w:val="24"/>
          <w:lang w:val="ro-RO"/>
        </w:rPr>
        <w:t>randamentul cumulat și rata inflației, în favoarea celui dintâi indicator.</w:t>
      </w:r>
    </w:p>
    <w:p w14:paraId="4D3BC54A" w14:textId="77777777" w:rsidR="00527F5E" w:rsidRDefault="00000000">
      <w:pPr>
        <w:rPr>
          <w:lang w:val="ro-RO"/>
        </w:rPr>
      </w:pPr>
      <w:r>
        <w:rPr>
          <w:noProof/>
        </w:rPr>
        <w:lastRenderedPageBreak/>
        <w:drawing>
          <wp:inline distT="0" distB="0" distL="0" distR="0" wp14:anchorId="4CAC7444" wp14:editId="0EF54027">
            <wp:extent cx="4572000" cy="2743200"/>
            <wp:effectExtent l="0" t="0" r="0" b="0"/>
            <wp:docPr id="129762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90C8DB7" w14:textId="77777777" w:rsidR="00527F5E" w:rsidRDefault="00000000">
      <w:pPr>
        <w:rPr>
          <w:sz w:val="24"/>
          <w:szCs w:val="24"/>
          <w:lang w:val="ro-RO"/>
        </w:rPr>
      </w:pPr>
      <w:r>
        <w:rPr>
          <w:sz w:val="24"/>
          <w:szCs w:val="24"/>
          <w:lang w:val="ro-RO"/>
        </w:rPr>
        <w:t>Figura 4. Inflație față de randamentul Pilonului II</w:t>
      </w:r>
    </w:p>
    <w:p w14:paraId="41A55330" w14:textId="77777777" w:rsidR="00527F5E" w:rsidRDefault="00000000">
      <w:pPr>
        <w:rPr>
          <w:sz w:val="24"/>
          <w:szCs w:val="24"/>
          <w:lang w:val="ro-RO"/>
        </w:rPr>
      </w:pPr>
      <w:r>
        <w:rPr>
          <w:sz w:val="24"/>
          <w:szCs w:val="24"/>
          <w:lang w:val="ro-RO"/>
        </w:rPr>
        <w:t xml:space="preserve">Sursa datelor: Asociația pentru pensiile administrate privat din România, BNS </w:t>
      </w:r>
    </w:p>
    <w:p w14:paraId="7E752AA1" w14:textId="77777777" w:rsidR="00527F5E" w:rsidRDefault="00527F5E">
      <w:pPr>
        <w:rPr>
          <w:lang w:val="ro-RO"/>
        </w:rPr>
      </w:pPr>
    </w:p>
    <w:p w14:paraId="6FF16CA7" w14:textId="77777777" w:rsidR="00527F5E" w:rsidRDefault="00000000">
      <w:pPr>
        <w:rPr>
          <w:lang w:val="ro-RO"/>
        </w:rPr>
      </w:pPr>
      <w:r>
        <w:rPr>
          <w:noProof/>
        </w:rPr>
        <w:drawing>
          <wp:inline distT="0" distB="0" distL="0" distR="0" wp14:anchorId="71AADDC6" wp14:editId="430AEB51">
            <wp:extent cx="4831080" cy="2636520"/>
            <wp:effectExtent l="0" t="0" r="7620" b="11430"/>
            <wp:docPr id="166235160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BE240C6" w14:textId="77777777" w:rsidR="00527F5E" w:rsidRDefault="00000000">
      <w:pPr>
        <w:rPr>
          <w:sz w:val="24"/>
          <w:szCs w:val="24"/>
          <w:lang w:val="ro-RO"/>
        </w:rPr>
      </w:pPr>
      <w:r>
        <w:rPr>
          <w:sz w:val="24"/>
          <w:szCs w:val="24"/>
          <w:lang w:val="ro-RO"/>
        </w:rPr>
        <w:t>Figura 5. Subvențiile acordate de la bugetul de stat pentru cheltuielile cu pensiile</w:t>
      </w:r>
    </w:p>
    <w:p w14:paraId="51DBBA61" w14:textId="77777777" w:rsidR="00527F5E" w:rsidRDefault="00000000">
      <w:pPr>
        <w:rPr>
          <w:sz w:val="24"/>
          <w:szCs w:val="24"/>
          <w:lang w:val="ro-RO"/>
        </w:rPr>
      </w:pPr>
      <w:r>
        <w:rPr>
          <w:sz w:val="24"/>
          <w:szCs w:val="24"/>
          <w:lang w:val="ro-RO"/>
        </w:rPr>
        <w:t>Sursa: cursdeguvernare.ro</w:t>
      </w:r>
    </w:p>
    <w:p w14:paraId="7589FBE5" w14:textId="623C6AF0" w:rsidR="00527F5E" w:rsidRPr="00454B16" w:rsidRDefault="005D0E91">
      <w:pPr>
        <w:rPr>
          <w:sz w:val="24"/>
          <w:szCs w:val="24"/>
          <w:lang w:val="ro-RO"/>
        </w:rPr>
      </w:pPr>
      <w:r w:rsidRPr="00454B16">
        <w:rPr>
          <w:sz w:val="24"/>
          <w:szCs w:val="24"/>
          <w:lang w:val="ro-RO"/>
        </w:rPr>
        <w:t>Din analiza indicatorilor prezentați în graficul alăturat, reiese că, începând cu anul 2020, cuantumul total al subvențiilor privind cheltuielile cu pensiile, a crescut cu un procent destul de ridicat, față de amnii anteriori.</w:t>
      </w:r>
    </w:p>
    <w:p w14:paraId="4991662B" w14:textId="77777777" w:rsidR="00527F5E" w:rsidRDefault="00000000">
      <w:pPr>
        <w:rPr>
          <w:lang w:val="ro-RO"/>
        </w:rPr>
      </w:pPr>
      <w:r>
        <w:rPr>
          <w:noProof/>
        </w:rPr>
        <w:lastRenderedPageBreak/>
        <w:drawing>
          <wp:inline distT="0" distB="0" distL="0" distR="0" wp14:anchorId="14F25BF8" wp14:editId="30BEEEE5">
            <wp:extent cx="4572000" cy="2636520"/>
            <wp:effectExtent l="0" t="0" r="0" b="11430"/>
            <wp:docPr id="1501843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A0961B3" w14:textId="77777777" w:rsidR="00527F5E" w:rsidRDefault="00000000">
      <w:pPr>
        <w:rPr>
          <w:sz w:val="24"/>
          <w:szCs w:val="24"/>
          <w:lang w:val="ro-RO"/>
        </w:rPr>
      </w:pPr>
      <w:r>
        <w:rPr>
          <w:sz w:val="24"/>
          <w:szCs w:val="24"/>
          <w:lang w:val="ro-RO"/>
        </w:rPr>
        <w:t>Figura 6. Structura bugetului asigurărilor sociale de stat (sistemul public de pensii), 2024-2027</w:t>
      </w:r>
    </w:p>
    <w:p w14:paraId="04F60751" w14:textId="77777777" w:rsidR="00527F5E" w:rsidRDefault="00000000">
      <w:pPr>
        <w:rPr>
          <w:sz w:val="24"/>
          <w:szCs w:val="24"/>
          <w:lang w:val="ro-RO"/>
        </w:rPr>
      </w:pPr>
      <w:r>
        <w:rPr>
          <w:sz w:val="24"/>
          <w:szCs w:val="24"/>
          <w:lang w:val="ro-RO"/>
        </w:rPr>
        <w:t xml:space="preserve">Sursa datelor: Legea Bugetului Asigurărilor Sociale de Stat pe anul 2024 </w:t>
      </w:r>
    </w:p>
    <w:p w14:paraId="6D83687E" w14:textId="77777777" w:rsidR="00527F5E" w:rsidRDefault="00527F5E">
      <w:pPr>
        <w:rPr>
          <w:lang w:val="ro-RO"/>
        </w:rPr>
      </w:pPr>
    </w:p>
    <w:p w14:paraId="654CA135" w14:textId="77777777" w:rsidR="00527F5E" w:rsidRPr="001E2B26" w:rsidRDefault="00000000">
      <w:pPr>
        <w:ind w:firstLine="0"/>
        <w:rPr>
          <w:b/>
          <w:bCs/>
          <w:sz w:val="26"/>
          <w:szCs w:val="26"/>
          <w:lang w:val="ro-RO"/>
        </w:rPr>
      </w:pPr>
      <w:r w:rsidRPr="001E2B26">
        <w:rPr>
          <w:b/>
          <w:bCs/>
          <w:sz w:val="26"/>
          <w:szCs w:val="26"/>
          <w:lang w:val="ro-RO"/>
        </w:rPr>
        <w:t>Discu</w:t>
      </w:r>
      <w:r w:rsidRPr="001E2B26">
        <w:rPr>
          <w:rFonts w:cs="Cambria"/>
          <w:b/>
          <w:bCs/>
          <w:sz w:val="26"/>
          <w:szCs w:val="26"/>
          <w:lang w:val="ro-RO"/>
        </w:rPr>
        <w:t>ț</w:t>
      </w:r>
      <w:r w:rsidRPr="001E2B26">
        <w:rPr>
          <w:b/>
          <w:bCs/>
          <w:sz w:val="26"/>
          <w:szCs w:val="26"/>
          <w:lang w:val="ro-RO"/>
        </w:rPr>
        <w:t>ii</w:t>
      </w:r>
    </w:p>
    <w:p w14:paraId="216C4B20" w14:textId="77777777" w:rsidR="00AD3C3C" w:rsidRDefault="00000000" w:rsidP="00AD3C3C">
      <w:pPr>
        <w:ind w:firstLine="0"/>
        <w:rPr>
          <w:sz w:val="24"/>
          <w:szCs w:val="24"/>
          <w:lang w:val="ro-RO"/>
        </w:rPr>
      </w:pPr>
      <w:r>
        <w:rPr>
          <w:b/>
          <w:bCs/>
          <w:sz w:val="26"/>
          <w:szCs w:val="26"/>
          <w:lang w:val="ro-RO"/>
        </w:rPr>
        <w:t xml:space="preserve">      </w:t>
      </w:r>
      <w:r>
        <w:rPr>
          <w:sz w:val="24"/>
          <w:szCs w:val="24"/>
          <w:lang w:val="ro-RO"/>
        </w:rPr>
        <w:t xml:space="preserve">      </w:t>
      </w:r>
      <w:r w:rsidR="00AD3C3C" w:rsidRPr="00AD3C3C">
        <w:rPr>
          <w:sz w:val="24"/>
          <w:szCs w:val="24"/>
          <w:lang w:val="ro-RO"/>
        </w:rPr>
        <w:t>Conferința Națională „Egalitatea de șanse în fața provocărilor contemporane”, organizată de Universitatea „Alexandru Ioan Cuza” din Iași, a abordat teme precum egalitatea de gen, drepturile persoanelor cu dizabilități și incluziunea socială. Simpozionul a reunit educatori, cercetători și reprezentanți ai societății civile pentru a discuta politica guvernamentală și tactica pentru a combate discriminarea.</w:t>
      </w:r>
    </w:p>
    <w:p w14:paraId="0BACB6B3" w14:textId="6920911F" w:rsidR="00AD3C3C" w:rsidRPr="00AD3C3C" w:rsidRDefault="00AD3C3C" w:rsidP="001E2B26">
      <w:pPr>
        <w:rPr>
          <w:sz w:val="24"/>
          <w:szCs w:val="24"/>
          <w:lang w:val="ro-RO"/>
        </w:rPr>
      </w:pPr>
      <w:r w:rsidRPr="00AD3C3C">
        <w:rPr>
          <w:sz w:val="24"/>
          <w:szCs w:val="24"/>
          <w:lang w:val="ro-RO"/>
        </w:rPr>
        <w:t>Conferința Internațională de Asistență Socială – „Calitatea vieții copilului și familiei” a fost găzduită la Universitatea Emanuel din Oradea, a reunit specialiști în serviciile sociale pentru a aborda bunăstarea copiilor și familiilor din regiune. A fost subliniată prezentarea prelegerilor și atelierelor privind îmbunătățirea îngrijirii sociale și a calității vieții beneficiarilor.</w:t>
      </w:r>
    </w:p>
    <w:p w14:paraId="7BE9B2F6" w14:textId="77777777" w:rsidR="00AD3C3C" w:rsidRPr="00AD3C3C" w:rsidRDefault="00AD3C3C" w:rsidP="00454B16">
      <w:pPr>
        <w:rPr>
          <w:sz w:val="24"/>
          <w:szCs w:val="24"/>
          <w:lang w:val="ro-RO"/>
        </w:rPr>
      </w:pPr>
      <w:r w:rsidRPr="00AD3C3C">
        <w:rPr>
          <w:sz w:val="24"/>
          <w:szCs w:val="24"/>
          <w:lang w:val="ro-RO"/>
        </w:rPr>
        <w:t>Proiectul „Familia la puterea 3 – Servicii de prevenire a separării copilului de familie” Lansat de Direcția Generală de Asistență Socială și Protecția Copilului Sector 3 din București, își propune să evite separarea copilului de familiile lor, oferind servicii comunitare. Proiectul este co-finanțat de Fondul Social European + și necesită cooperare între autoritățile locale și agențiile non-guvernamentale.</w:t>
      </w:r>
    </w:p>
    <w:p w14:paraId="57A4DC08" w14:textId="57420A3B" w:rsidR="00527F5E" w:rsidRDefault="00AD3C3C" w:rsidP="00454B16">
      <w:pPr>
        <w:rPr>
          <w:sz w:val="24"/>
          <w:szCs w:val="24"/>
          <w:lang w:val="ro-RO"/>
        </w:rPr>
      </w:pPr>
      <w:r w:rsidRPr="00AD3C3C">
        <w:rPr>
          <w:sz w:val="24"/>
          <w:szCs w:val="24"/>
          <w:lang w:val="ro-RO"/>
        </w:rPr>
        <w:t xml:space="preserve">Potrivit unei cercetări a Băncii Mondiale, îndreptățită la un cadru adaptabil de securitate socială din România, </w:t>
      </w:r>
      <w:r w:rsidR="00BA25BC">
        <w:rPr>
          <w:sz w:val="24"/>
          <w:szCs w:val="24"/>
          <w:lang w:val="ro-RO"/>
        </w:rPr>
        <w:t>este necesară</w:t>
      </w:r>
      <w:r w:rsidRPr="00AD3C3C">
        <w:rPr>
          <w:sz w:val="24"/>
          <w:szCs w:val="24"/>
          <w:lang w:val="ro-RO"/>
        </w:rPr>
        <w:t xml:space="preserve"> actualiza</w:t>
      </w:r>
      <w:r w:rsidR="00BA25BC">
        <w:rPr>
          <w:sz w:val="24"/>
          <w:szCs w:val="24"/>
          <w:lang w:val="ro-RO"/>
        </w:rPr>
        <w:t>rea</w:t>
      </w:r>
      <w:r w:rsidRPr="00AD3C3C">
        <w:rPr>
          <w:sz w:val="24"/>
          <w:szCs w:val="24"/>
          <w:lang w:val="ro-RO"/>
        </w:rPr>
        <w:t xml:space="preserve"> sistemul</w:t>
      </w:r>
      <w:r w:rsidR="00BA25BC">
        <w:rPr>
          <w:sz w:val="24"/>
          <w:szCs w:val="24"/>
          <w:lang w:val="ro-RO"/>
        </w:rPr>
        <w:t xml:space="preserve">ui de protecție socială </w:t>
      </w:r>
      <w:r w:rsidRPr="00AD3C3C">
        <w:rPr>
          <w:sz w:val="24"/>
          <w:szCs w:val="24"/>
          <w:lang w:val="ro-RO"/>
        </w:rPr>
        <w:t xml:space="preserve"> pentru a răspunde mai eficient la nevoile populați</w:t>
      </w:r>
      <w:r w:rsidR="00BA25BC">
        <w:rPr>
          <w:sz w:val="24"/>
          <w:szCs w:val="24"/>
          <w:lang w:val="ro-RO"/>
        </w:rPr>
        <w:t>ei</w:t>
      </w:r>
      <w:r w:rsidRPr="00AD3C3C">
        <w:rPr>
          <w:sz w:val="24"/>
          <w:szCs w:val="24"/>
          <w:lang w:val="ro-RO"/>
        </w:rPr>
        <w:t xml:space="preserve">. Conform raportului, consolidarea capacității instituționale și adaptarea politicilor sociale la tranzițiile economice și demografice sunt ambele critice. De asemenea, un studiu publicat în revista „Sociologie Românească” atrage atenția asupra unei focalizări excesive pe acordarea de beneficii sociale categoriale, în detrimentul serviciilor sociale bazate pe testarea mijloacelor. Această abordare poate conduce la subdimensionarea serviciilor esențiale pentru persoanele vulnerabile. Ajutor pentru tinerii care părăsesc sistemul de asistență socială. Tinerii care se află în afara schemei de protecție specială este o mare îngrijorare. </w:t>
      </w:r>
      <w:r w:rsidR="001E2B26">
        <w:rPr>
          <w:sz w:val="24"/>
          <w:szCs w:val="24"/>
          <w:lang w:val="ro-RO"/>
        </w:rPr>
        <w:t>Un</w:t>
      </w:r>
      <w:r w:rsidRPr="00AD3C3C">
        <w:rPr>
          <w:sz w:val="24"/>
          <w:szCs w:val="24"/>
          <w:lang w:val="ro-RO"/>
        </w:rPr>
        <w:t xml:space="preserve"> raport al SOS Childrens Sates România, evidențiază provocările cu care se confruntă ace</w:t>
      </w:r>
      <w:r w:rsidR="001E2B26">
        <w:rPr>
          <w:sz w:val="24"/>
          <w:szCs w:val="24"/>
          <w:lang w:val="ro-RO"/>
        </w:rPr>
        <w:t xml:space="preserve">ști </w:t>
      </w:r>
      <w:r w:rsidRPr="00AD3C3C">
        <w:rPr>
          <w:sz w:val="24"/>
          <w:szCs w:val="24"/>
          <w:lang w:val="ro-RO"/>
        </w:rPr>
        <w:t xml:space="preserve">tineri în timpul tranziției lor la independență, subliniind necesitatea unor servicii de asistență adecvate. Senatul României a modificat o lege care extinde dreptul la o indemnizație lunară pentru toți tinerii care părăsesc </w:t>
      </w:r>
      <w:r w:rsidRPr="00AD3C3C">
        <w:rPr>
          <w:sz w:val="24"/>
          <w:szCs w:val="24"/>
          <w:lang w:val="ro-RO"/>
        </w:rPr>
        <w:lastRenderedPageBreak/>
        <w:t>sistemul de securitate socială, indiferent de data plecării din schemă. Această inițiativă își propune să remedieze o nedreptate și să ofere asistență financiară pentru integrare în societate.</w:t>
      </w:r>
    </w:p>
    <w:p w14:paraId="319D7567" w14:textId="77777777" w:rsidR="00527F5E" w:rsidRDefault="00000000">
      <w:pPr>
        <w:pStyle w:val="Heading2"/>
        <w:rPr>
          <w:lang w:val="ro-RO"/>
        </w:rPr>
      </w:pPr>
      <w:r>
        <w:rPr>
          <w:lang w:val="ro-RO"/>
        </w:rPr>
        <w:t>Concluzii</w:t>
      </w:r>
    </w:p>
    <w:p w14:paraId="411D34C2" w14:textId="37A10ED2" w:rsidR="00AD3C3C" w:rsidRPr="00AD3C3C" w:rsidRDefault="00AD3C3C" w:rsidP="00AD3C3C">
      <w:pPr>
        <w:rPr>
          <w:lang w:val="ro-RO"/>
        </w:rPr>
      </w:pPr>
      <w:r w:rsidRPr="00AD3C3C">
        <w:rPr>
          <w:lang w:val="ro-RO"/>
        </w:rPr>
        <w:t>Sistemul de protecție socială din</w:t>
      </w:r>
      <w:r w:rsidR="00D82C5E">
        <w:rPr>
          <w:lang w:val="ro-RO"/>
        </w:rPr>
        <w:t xml:space="preserve"> </w:t>
      </w:r>
      <w:r w:rsidRPr="00AD3C3C">
        <w:rPr>
          <w:lang w:val="ro-RO"/>
        </w:rPr>
        <w:t>România</w:t>
      </w:r>
      <w:r>
        <w:rPr>
          <w:lang w:val="ro-RO"/>
        </w:rPr>
        <w:t xml:space="preserve"> oglindește</w:t>
      </w:r>
      <w:r w:rsidRPr="00AD3C3C">
        <w:rPr>
          <w:lang w:val="ro-RO"/>
        </w:rPr>
        <w:t xml:space="preserve"> o</w:t>
      </w:r>
      <w:r>
        <w:rPr>
          <w:lang w:val="ro-RO"/>
        </w:rPr>
        <w:t xml:space="preserve"> </w:t>
      </w:r>
      <w:r w:rsidRPr="00AD3C3C">
        <w:rPr>
          <w:lang w:val="ro-RO"/>
        </w:rPr>
        <w:t>realitate complexă și dinamică, marcată de tranziția postcomunistă, influențele europene și particularitățile contextului socio-cultural autohton. Analiza contribuțiilor teoretice și instituționale arată că acest sistem nu este doar rezultatul reformelor de după 1989, ci are rădăcini istorice adânci, legate de mecanismele comunitare și solidaritatea informală, așa cum</w:t>
      </w:r>
      <w:r>
        <w:rPr>
          <w:lang w:val="ro-RO"/>
        </w:rPr>
        <w:t xml:space="preserve"> </w:t>
      </w:r>
      <w:r w:rsidRPr="00AD3C3C">
        <w:rPr>
          <w:lang w:val="ro-RO"/>
        </w:rPr>
        <w:t>accentuează</w:t>
      </w:r>
      <w:r>
        <w:rPr>
          <w:lang w:val="ro-RO"/>
        </w:rPr>
        <w:t xml:space="preserve"> </w:t>
      </w:r>
      <w:r w:rsidRPr="00AD3C3C">
        <w:rPr>
          <w:lang w:val="ro-RO"/>
        </w:rPr>
        <w:t>Vasile Miftode.</w:t>
      </w:r>
    </w:p>
    <w:p w14:paraId="4EC615CB" w14:textId="0AE1A93E" w:rsidR="00AD3C3C" w:rsidRPr="00AD3C3C" w:rsidRDefault="00AD3C3C" w:rsidP="00AD3C3C">
      <w:pPr>
        <w:rPr>
          <w:lang w:val="ro-RO"/>
        </w:rPr>
      </w:pPr>
      <w:r w:rsidRPr="00AD3C3C">
        <w:rPr>
          <w:lang w:val="ro-RO"/>
        </w:rPr>
        <w:t>Cu</w:t>
      </w:r>
      <w:r>
        <w:rPr>
          <w:lang w:val="ro-RO"/>
        </w:rPr>
        <w:t xml:space="preserve"> </w:t>
      </w:r>
      <w:r w:rsidRPr="00AD3C3C">
        <w:rPr>
          <w:lang w:val="ro-RO"/>
        </w:rPr>
        <w:t>toate</w:t>
      </w:r>
      <w:r>
        <w:rPr>
          <w:lang w:val="ro-RO"/>
        </w:rPr>
        <w:t xml:space="preserve"> </w:t>
      </w:r>
      <w:r w:rsidRPr="00AD3C3C">
        <w:rPr>
          <w:lang w:val="ro-RO"/>
        </w:rPr>
        <w:t>acestea,</w:t>
      </w:r>
      <w:r>
        <w:rPr>
          <w:lang w:val="ro-RO"/>
        </w:rPr>
        <w:t xml:space="preserve"> </w:t>
      </w:r>
      <w:r w:rsidRPr="00AD3C3C">
        <w:rPr>
          <w:lang w:val="ro-RO"/>
        </w:rPr>
        <w:t>provocările</w:t>
      </w:r>
      <w:r>
        <w:rPr>
          <w:lang w:val="ro-RO"/>
        </w:rPr>
        <w:t xml:space="preserve"> </w:t>
      </w:r>
      <w:r w:rsidRPr="00AD3C3C">
        <w:rPr>
          <w:lang w:val="ro-RO"/>
        </w:rPr>
        <w:t>persistă.</w:t>
      </w:r>
      <w:r>
        <w:rPr>
          <w:lang w:val="ro-RO"/>
        </w:rPr>
        <w:t xml:space="preserve"> </w:t>
      </w:r>
      <w:r w:rsidRPr="00AD3C3C">
        <w:rPr>
          <w:lang w:val="ro-RO"/>
        </w:rPr>
        <w:t>Accesibilitatea</w:t>
      </w:r>
      <w:r>
        <w:rPr>
          <w:lang w:val="ro-RO"/>
        </w:rPr>
        <w:t xml:space="preserve"> </w:t>
      </w:r>
      <w:r w:rsidRPr="00AD3C3C">
        <w:rPr>
          <w:lang w:val="ro-RO"/>
        </w:rPr>
        <w:t>inegală,</w:t>
      </w:r>
      <w:r>
        <w:rPr>
          <w:lang w:val="ro-RO"/>
        </w:rPr>
        <w:t xml:space="preserve"> </w:t>
      </w:r>
      <w:r w:rsidRPr="00AD3C3C">
        <w:rPr>
          <w:lang w:val="ro-RO"/>
        </w:rPr>
        <w:t>calitatea</w:t>
      </w:r>
      <w:r>
        <w:rPr>
          <w:lang w:val="ro-RO"/>
        </w:rPr>
        <w:t xml:space="preserve"> </w:t>
      </w:r>
      <w:r w:rsidRPr="00AD3C3C">
        <w:rPr>
          <w:lang w:val="ro-RO"/>
        </w:rPr>
        <w:t>variabilă</w:t>
      </w:r>
      <w:r>
        <w:rPr>
          <w:lang w:val="ro-RO"/>
        </w:rPr>
        <w:t xml:space="preserve"> </w:t>
      </w:r>
      <w:r w:rsidRPr="00AD3C3C">
        <w:rPr>
          <w:lang w:val="ro-RO"/>
        </w:rPr>
        <w:t>a</w:t>
      </w:r>
      <w:r>
        <w:rPr>
          <w:lang w:val="ro-RO"/>
        </w:rPr>
        <w:t xml:space="preserve"> </w:t>
      </w:r>
      <w:r w:rsidRPr="00AD3C3C">
        <w:rPr>
          <w:lang w:val="ro-RO"/>
        </w:rPr>
        <w:t>serviciilor</w:t>
      </w:r>
      <w:r>
        <w:rPr>
          <w:lang w:val="ro-RO"/>
        </w:rPr>
        <w:t xml:space="preserve"> </w:t>
      </w:r>
      <w:r w:rsidRPr="00AD3C3C">
        <w:rPr>
          <w:lang w:val="ro-RO"/>
        </w:rPr>
        <w:t>și</w:t>
      </w:r>
      <w:r>
        <w:rPr>
          <w:lang w:val="ro-RO"/>
        </w:rPr>
        <w:t xml:space="preserve"> </w:t>
      </w:r>
      <w:r w:rsidRPr="00AD3C3C">
        <w:rPr>
          <w:lang w:val="ro-RO"/>
        </w:rPr>
        <w:t>diferențele</w:t>
      </w:r>
      <w:r>
        <w:rPr>
          <w:lang w:val="ro-RO"/>
        </w:rPr>
        <w:t xml:space="preserve"> </w:t>
      </w:r>
      <w:r w:rsidRPr="00AD3C3C">
        <w:rPr>
          <w:lang w:val="ro-RO"/>
        </w:rPr>
        <w:t>regionale</w:t>
      </w:r>
      <w:r>
        <w:rPr>
          <w:lang w:val="ro-RO"/>
        </w:rPr>
        <w:t xml:space="preserve"> </w:t>
      </w:r>
      <w:r w:rsidRPr="00AD3C3C">
        <w:rPr>
          <w:lang w:val="ro-RO"/>
        </w:rPr>
        <w:t>majore</w:t>
      </w:r>
      <w:r>
        <w:rPr>
          <w:lang w:val="ro-RO"/>
        </w:rPr>
        <w:t xml:space="preserve"> </w:t>
      </w:r>
      <w:r w:rsidRPr="00AD3C3C">
        <w:rPr>
          <w:lang w:val="ro-RO"/>
        </w:rPr>
        <w:t>denotă</w:t>
      </w:r>
      <w:r>
        <w:rPr>
          <w:lang w:val="ro-RO"/>
        </w:rPr>
        <w:t xml:space="preserve"> </w:t>
      </w:r>
      <w:r w:rsidRPr="00AD3C3C">
        <w:rPr>
          <w:lang w:val="ro-RO"/>
        </w:rPr>
        <w:t>disfuncționalități</w:t>
      </w:r>
      <w:r>
        <w:rPr>
          <w:lang w:val="ro-RO"/>
        </w:rPr>
        <w:t xml:space="preserve"> </w:t>
      </w:r>
      <w:r w:rsidRPr="00AD3C3C">
        <w:rPr>
          <w:lang w:val="ro-RO"/>
        </w:rPr>
        <w:t>legate</w:t>
      </w:r>
      <w:r>
        <w:rPr>
          <w:lang w:val="ro-RO"/>
        </w:rPr>
        <w:t xml:space="preserve"> </w:t>
      </w:r>
      <w:r w:rsidRPr="00AD3C3C">
        <w:rPr>
          <w:lang w:val="ro-RO"/>
        </w:rPr>
        <w:t>de</w:t>
      </w:r>
      <w:r>
        <w:rPr>
          <w:lang w:val="ro-RO"/>
        </w:rPr>
        <w:t xml:space="preserve"> </w:t>
      </w:r>
      <w:r w:rsidRPr="00AD3C3C">
        <w:rPr>
          <w:lang w:val="ro-RO"/>
        </w:rPr>
        <w:t>capacitatea</w:t>
      </w:r>
      <w:r>
        <w:rPr>
          <w:lang w:val="ro-RO"/>
        </w:rPr>
        <w:t xml:space="preserve"> </w:t>
      </w:r>
      <w:r w:rsidRPr="00AD3C3C">
        <w:rPr>
          <w:lang w:val="ro-RO"/>
        </w:rPr>
        <w:t>administrativă</w:t>
      </w:r>
      <w:r>
        <w:rPr>
          <w:lang w:val="ro-RO"/>
        </w:rPr>
        <w:t xml:space="preserve"> </w:t>
      </w:r>
      <w:r w:rsidRPr="00AD3C3C">
        <w:rPr>
          <w:lang w:val="ro-RO"/>
        </w:rPr>
        <w:t>și</w:t>
      </w:r>
      <w:r>
        <w:rPr>
          <w:lang w:val="ro-RO"/>
        </w:rPr>
        <w:t xml:space="preserve"> </w:t>
      </w:r>
      <w:r w:rsidRPr="00AD3C3C">
        <w:rPr>
          <w:lang w:val="ro-RO"/>
        </w:rPr>
        <w:t>de</w:t>
      </w:r>
      <w:r>
        <w:rPr>
          <w:lang w:val="ro-RO"/>
        </w:rPr>
        <w:t xml:space="preserve"> </w:t>
      </w:r>
      <w:r w:rsidRPr="00AD3C3C">
        <w:rPr>
          <w:lang w:val="ro-RO"/>
        </w:rPr>
        <w:t>încrederea</w:t>
      </w:r>
      <w:r>
        <w:rPr>
          <w:lang w:val="ro-RO"/>
        </w:rPr>
        <w:t xml:space="preserve"> </w:t>
      </w:r>
      <w:r w:rsidRPr="00AD3C3C">
        <w:rPr>
          <w:lang w:val="ro-RO"/>
        </w:rPr>
        <w:t>publicului</w:t>
      </w:r>
      <w:r>
        <w:rPr>
          <w:lang w:val="ro-RO"/>
        </w:rPr>
        <w:t xml:space="preserve"> </w:t>
      </w:r>
      <w:r w:rsidRPr="00AD3C3C">
        <w:rPr>
          <w:lang w:val="ro-RO"/>
        </w:rPr>
        <w:t>în</w:t>
      </w:r>
      <w:r>
        <w:rPr>
          <w:lang w:val="ro-RO"/>
        </w:rPr>
        <w:t xml:space="preserve"> </w:t>
      </w:r>
      <w:r w:rsidRPr="00AD3C3C">
        <w:rPr>
          <w:lang w:val="ro-RO"/>
        </w:rPr>
        <w:t>instituțiile</w:t>
      </w:r>
      <w:r>
        <w:rPr>
          <w:lang w:val="ro-RO"/>
        </w:rPr>
        <w:t xml:space="preserve"> </w:t>
      </w:r>
      <w:r w:rsidRPr="00AD3C3C">
        <w:rPr>
          <w:lang w:val="ro-RO"/>
        </w:rPr>
        <w:t>statului.</w:t>
      </w:r>
      <w:r>
        <w:rPr>
          <w:lang w:val="ro-RO"/>
        </w:rPr>
        <w:t xml:space="preserve"> </w:t>
      </w:r>
      <w:r w:rsidRPr="00AD3C3C">
        <w:rPr>
          <w:lang w:val="ro-RO"/>
        </w:rPr>
        <w:t>Analiza</w:t>
      </w:r>
      <w:r>
        <w:rPr>
          <w:lang w:val="ro-RO"/>
        </w:rPr>
        <w:t xml:space="preserve"> </w:t>
      </w:r>
      <w:r w:rsidRPr="00AD3C3C">
        <w:rPr>
          <w:lang w:val="ro-RO"/>
        </w:rPr>
        <w:t>datelor</w:t>
      </w:r>
      <w:r>
        <w:rPr>
          <w:lang w:val="ro-RO"/>
        </w:rPr>
        <w:t xml:space="preserve"> </w:t>
      </w:r>
      <w:r w:rsidRPr="00AD3C3C">
        <w:rPr>
          <w:lang w:val="ro-RO"/>
        </w:rPr>
        <w:t>sociale</w:t>
      </w:r>
      <w:r>
        <w:rPr>
          <w:lang w:val="ro-RO"/>
        </w:rPr>
        <w:t xml:space="preserve"> </w:t>
      </w:r>
      <w:r w:rsidRPr="00AD3C3C">
        <w:rPr>
          <w:lang w:val="ro-RO"/>
        </w:rPr>
        <w:t>indică</w:t>
      </w:r>
      <w:r>
        <w:rPr>
          <w:lang w:val="ro-RO"/>
        </w:rPr>
        <w:t xml:space="preserve"> </w:t>
      </w:r>
      <w:r w:rsidRPr="00AD3C3C">
        <w:rPr>
          <w:lang w:val="ro-RO"/>
        </w:rPr>
        <w:t>existența</w:t>
      </w:r>
      <w:r>
        <w:rPr>
          <w:lang w:val="ro-RO"/>
        </w:rPr>
        <w:t xml:space="preserve"> </w:t>
      </w:r>
      <w:r w:rsidRPr="00AD3C3C">
        <w:rPr>
          <w:lang w:val="ro-RO"/>
        </w:rPr>
        <w:t>unor</w:t>
      </w:r>
      <w:r>
        <w:rPr>
          <w:lang w:val="ro-RO"/>
        </w:rPr>
        <w:t xml:space="preserve"> </w:t>
      </w:r>
      <w:r w:rsidRPr="00AD3C3C">
        <w:rPr>
          <w:lang w:val="ro-RO"/>
        </w:rPr>
        <w:t>decalaje</w:t>
      </w:r>
      <w:r>
        <w:rPr>
          <w:lang w:val="ro-RO"/>
        </w:rPr>
        <w:t xml:space="preserve"> </w:t>
      </w:r>
      <w:r w:rsidRPr="00AD3C3C">
        <w:rPr>
          <w:lang w:val="ro-RO"/>
        </w:rPr>
        <w:t>semnificative</w:t>
      </w:r>
      <w:r>
        <w:rPr>
          <w:lang w:val="ro-RO"/>
        </w:rPr>
        <w:t xml:space="preserve"> </w:t>
      </w:r>
      <w:r w:rsidRPr="00AD3C3C">
        <w:rPr>
          <w:lang w:val="ro-RO"/>
        </w:rPr>
        <w:t>între</w:t>
      </w:r>
      <w:r>
        <w:rPr>
          <w:lang w:val="ro-RO"/>
        </w:rPr>
        <w:t xml:space="preserve"> </w:t>
      </w:r>
      <w:r w:rsidRPr="00AD3C3C">
        <w:rPr>
          <w:lang w:val="ro-RO"/>
        </w:rPr>
        <w:t>regiuni</w:t>
      </w:r>
      <w:r>
        <w:rPr>
          <w:lang w:val="ro-RO"/>
        </w:rPr>
        <w:t xml:space="preserve"> </w:t>
      </w:r>
      <w:r w:rsidRPr="00AD3C3C">
        <w:rPr>
          <w:lang w:val="ro-RO"/>
        </w:rPr>
        <w:t>și</w:t>
      </w:r>
      <w:r>
        <w:rPr>
          <w:lang w:val="ro-RO"/>
        </w:rPr>
        <w:t xml:space="preserve"> </w:t>
      </w:r>
      <w:r w:rsidRPr="00AD3C3C">
        <w:rPr>
          <w:lang w:val="ro-RO"/>
        </w:rPr>
        <w:t>categorii</w:t>
      </w:r>
      <w:r>
        <w:rPr>
          <w:lang w:val="ro-RO"/>
        </w:rPr>
        <w:t xml:space="preserve"> </w:t>
      </w:r>
      <w:r w:rsidRPr="00AD3C3C">
        <w:rPr>
          <w:lang w:val="ro-RO"/>
        </w:rPr>
        <w:t>sociale</w:t>
      </w:r>
      <w:r>
        <w:rPr>
          <w:lang w:val="ro-RO"/>
        </w:rPr>
        <w:t xml:space="preserve"> </w:t>
      </w:r>
      <w:r w:rsidRPr="00AD3C3C">
        <w:rPr>
          <w:lang w:val="ro-RO"/>
        </w:rPr>
        <w:t>în</w:t>
      </w:r>
      <w:r>
        <w:rPr>
          <w:lang w:val="ro-RO"/>
        </w:rPr>
        <w:t xml:space="preserve"> </w:t>
      </w:r>
      <w:r w:rsidRPr="00AD3C3C">
        <w:rPr>
          <w:lang w:val="ro-RO"/>
        </w:rPr>
        <w:t>ceea</w:t>
      </w:r>
      <w:r>
        <w:rPr>
          <w:lang w:val="ro-RO"/>
        </w:rPr>
        <w:t xml:space="preserve"> </w:t>
      </w:r>
      <w:r w:rsidRPr="00AD3C3C">
        <w:rPr>
          <w:lang w:val="ro-RO"/>
        </w:rPr>
        <w:t>ce</w:t>
      </w:r>
      <w:r>
        <w:rPr>
          <w:lang w:val="ro-RO"/>
        </w:rPr>
        <w:t xml:space="preserve"> </w:t>
      </w:r>
      <w:r w:rsidRPr="00AD3C3C">
        <w:rPr>
          <w:lang w:val="ro-RO"/>
        </w:rPr>
        <w:t>privește</w:t>
      </w:r>
      <w:r>
        <w:rPr>
          <w:lang w:val="ro-RO"/>
        </w:rPr>
        <w:t xml:space="preserve"> </w:t>
      </w:r>
      <w:r w:rsidRPr="00AD3C3C">
        <w:rPr>
          <w:lang w:val="ro-RO"/>
        </w:rPr>
        <w:t>utilizarea</w:t>
      </w:r>
      <w:r>
        <w:rPr>
          <w:lang w:val="ro-RO"/>
        </w:rPr>
        <w:t xml:space="preserve"> </w:t>
      </w:r>
      <w:r w:rsidRPr="00AD3C3C">
        <w:rPr>
          <w:lang w:val="ro-RO"/>
        </w:rPr>
        <w:t>și</w:t>
      </w:r>
      <w:r>
        <w:rPr>
          <w:lang w:val="ro-RO"/>
        </w:rPr>
        <w:t xml:space="preserve"> </w:t>
      </w:r>
      <w:r w:rsidRPr="00AD3C3C">
        <w:rPr>
          <w:lang w:val="ro-RO"/>
        </w:rPr>
        <w:t>satisfacția</w:t>
      </w:r>
      <w:r>
        <w:rPr>
          <w:lang w:val="ro-RO"/>
        </w:rPr>
        <w:t xml:space="preserve"> </w:t>
      </w:r>
      <w:r w:rsidRPr="00AD3C3C">
        <w:rPr>
          <w:lang w:val="ro-RO"/>
        </w:rPr>
        <w:t>față</w:t>
      </w:r>
      <w:r>
        <w:rPr>
          <w:lang w:val="ro-RO"/>
        </w:rPr>
        <w:t xml:space="preserve"> </w:t>
      </w:r>
      <w:r w:rsidRPr="00AD3C3C">
        <w:rPr>
          <w:lang w:val="ro-RO"/>
        </w:rPr>
        <w:t>de</w:t>
      </w:r>
      <w:r>
        <w:rPr>
          <w:lang w:val="ro-RO"/>
        </w:rPr>
        <w:t xml:space="preserve"> </w:t>
      </w:r>
      <w:r w:rsidRPr="00AD3C3C">
        <w:rPr>
          <w:lang w:val="ro-RO"/>
        </w:rPr>
        <w:t>serviciile</w:t>
      </w:r>
      <w:r>
        <w:rPr>
          <w:lang w:val="ro-RO"/>
        </w:rPr>
        <w:t xml:space="preserve"> </w:t>
      </w:r>
      <w:r w:rsidR="002509F1">
        <w:rPr>
          <w:lang w:val="ro-RO"/>
        </w:rPr>
        <w:t xml:space="preserve">sociale </w:t>
      </w:r>
      <w:r w:rsidRPr="00AD3C3C">
        <w:rPr>
          <w:lang w:val="ro-RO"/>
        </w:rPr>
        <w:t>oferite.</w:t>
      </w:r>
    </w:p>
    <w:p w14:paraId="2E1D471C" w14:textId="74B5D9E6" w:rsidR="00527F5E" w:rsidRDefault="00AD3C3C" w:rsidP="00AD3C3C">
      <w:pPr>
        <w:rPr>
          <w:lang w:val="ro-RO"/>
        </w:rPr>
      </w:pPr>
      <w:r w:rsidRPr="00AD3C3C">
        <w:rPr>
          <w:lang w:val="ro-RO"/>
        </w:rPr>
        <w:t>Doar</w:t>
      </w:r>
      <w:r>
        <w:rPr>
          <w:lang w:val="ro-RO"/>
        </w:rPr>
        <w:t xml:space="preserve"> </w:t>
      </w:r>
      <w:r w:rsidRPr="00AD3C3C">
        <w:rPr>
          <w:lang w:val="ro-RO"/>
        </w:rPr>
        <w:t>printr-o</w:t>
      </w:r>
      <w:r>
        <w:rPr>
          <w:lang w:val="ro-RO"/>
        </w:rPr>
        <w:t xml:space="preserve"> </w:t>
      </w:r>
      <w:r w:rsidRPr="00AD3C3C">
        <w:rPr>
          <w:lang w:val="ro-RO"/>
        </w:rPr>
        <w:t>politică</w:t>
      </w:r>
      <w:r>
        <w:rPr>
          <w:lang w:val="ro-RO"/>
        </w:rPr>
        <w:t xml:space="preserve"> </w:t>
      </w:r>
      <w:r w:rsidRPr="00AD3C3C">
        <w:rPr>
          <w:lang w:val="ro-RO"/>
        </w:rPr>
        <w:t>socială</w:t>
      </w:r>
      <w:r>
        <w:rPr>
          <w:lang w:val="ro-RO"/>
        </w:rPr>
        <w:t xml:space="preserve"> </w:t>
      </w:r>
      <w:r w:rsidRPr="00AD3C3C">
        <w:rPr>
          <w:lang w:val="ro-RO"/>
        </w:rPr>
        <w:t>consecventă,</w:t>
      </w:r>
      <w:r>
        <w:rPr>
          <w:lang w:val="ro-RO"/>
        </w:rPr>
        <w:t xml:space="preserve"> </w:t>
      </w:r>
      <w:r w:rsidRPr="00AD3C3C">
        <w:rPr>
          <w:lang w:val="ro-RO"/>
        </w:rPr>
        <w:t>centrată</w:t>
      </w:r>
      <w:r>
        <w:rPr>
          <w:lang w:val="ro-RO"/>
        </w:rPr>
        <w:t xml:space="preserve"> </w:t>
      </w:r>
      <w:r w:rsidRPr="00AD3C3C">
        <w:rPr>
          <w:lang w:val="ro-RO"/>
        </w:rPr>
        <w:t>pe</w:t>
      </w:r>
      <w:r>
        <w:rPr>
          <w:lang w:val="ro-RO"/>
        </w:rPr>
        <w:t xml:space="preserve"> </w:t>
      </w:r>
      <w:r w:rsidRPr="00AD3C3C">
        <w:rPr>
          <w:lang w:val="ro-RO"/>
        </w:rPr>
        <w:t>drepturile</w:t>
      </w:r>
      <w:r>
        <w:rPr>
          <w:lang w:val="ro-RO"/>
        </w:rPr>
        <w:t xml:space="preserve"> </w:t>
      </w:r>
      <w:r w:rsidRPr="00AD3C3C">
        <w:rPr>
          <w:lang w:val="ro-RO"/>
        </w:rPr>
        <w:t>fundamentale</w:t>
      </w:r>
      <w:r>
        <w:rPr>
          <w:lang w:val="ro-RO"/>
        </w:rPr>
        <w:t xml:space="preserve"> </w:t>
      </w:r>
      <w:r w:rsidRPr="00AD3C3C">
        <w:rPr>
          <w:lang w:val="ro-RO"/>
        </w:rPr>
        <w:t>ale</w:t>
      </w:r>
      <w:r>
        <w:rPr>
          <w:lang w:val="ro-RO"/>
        </w:rPr>
        <w:t xml:space="preserve"> </w:t>
      </w:r>
      <w:r w:rsidRPr="00AD3C3C">
        <w:rPr>
          <w:lang w:val="ro-RO"/>
        </w:rPr>
        <w:t>persoanei</w:t>
      </w:r>
      <w:r>
        <w:rPr>
          <w:lang w:val="ro-RO"/>
        </w:rPr>
        <w:t xml:space="preserve"> </w:t>
      </w:r>
      <w:r w:rsidRPr="00AD3C3C">
        <w:rPr>
          <w:lang w:val="ro-RO"/>
        </w:rPr>
        <w:t>și</w:t>
      </w:r>
      <w:r>
        <w:rPr>
          <w:lang w:val="ro-RO"/>
        </w:rPr>
        <w:t xml:space="preserve"> </w:t>
      </w:r>
      <w:r w:rsidRPr="00AD3C3C">
        <w:rPr>
          <w:lang w:val="ro-RO"/>
        </w:rPr>
        <w:t>susținută</w:t>
      </w:r>
      <w:r>
        <w:rPr>
          <w:lang w:val="ro-RO"/>
        </w:rPr>
        <w:t xml:space="preserve"> </w:t>
      </w:r>
      <w:r w:rsidRPr="00AD3C3C">
        <w:rPr>
          <w:lang w:val="ro-RO"/>
        </w:rPr>
        <w:t>de</w:t>
      </w:r>
      <w:r>
        <w:rPr>
          <w:lang w:val="ro-RO"/>
        </w:rPr>
        <w:t xml:space="preserve"> </w:t>
      </w:r>
      <w:r w:rsidRPr="00AD3C3C">
        <w:rPr>
          <w:lang w:val="ro-RO"/>
        </w:rPr>
        <w:t>un</w:t>
      </w:r>
      <w:r>
        <w:rPr>
          <w:lang w:val="ro-RO"/>
        </w:rPr>
        <w:t xml:space="preserve"> </w:t>
      </w:r>
      <w:r w:rsidRPr="00AD3C3C">
        <w:rPr>
          <w:lang w:val="ro-RO"/>
        </w:rPr>
        <w:t>cadru</w:t>
      </w:r>
      <w:r>
        <w:rPr>
          <w:lang w:val="ro-RO"/>
        </w:rPr>
        <w:t xml:space="preserve"> </w:t>
      </w:r>
      <w:r w:rsidRPr="00AD3C3C">
        <w:rPr>
          <w:lang w:val="ro-RO"/>
        </w:rPr>
        <w:t>instituțional</w:t>
      </w:r>
      <w:r>
        <w:rPr>
          <w:lang w:val="ro-RO"/>
        </w:rPr>
        <w:t xml:space="preserve"> </w:t>
      </w:r>
      <w:r w:rsidRPr="00AD3C3C">
        <w:rPr>
          <w:lang w:val="ro-RO"/>
        </w:rPr>
        <w:t>stabil</w:t>
      </w:r>
      <w:r>
        <w:rPr>
          <w:lang w:val="ro-RO"/>
        </w:rPr>
        <w:t xml:space="preserve"> </w:t>
      </w:r>
      <w:r w:rsidRPr="00AD3C3C">
        <w:rPr>
          <w:lang w:val="ro-RO"/>
        </w:rPr>
        <w:t>și</w:t>
      </w:r>
      <w:r>
        <w:rPr>
          <w:lang w:val="ro-RO"/>
        </w:rPr>
        <w:t xml:space="preserve"> </w:t>
      </w:r>
      <w:r w:rsidRPr="00AD3C3C">
        <w:rPr>
          <w:lang w:val="ro-RO"/>
        </w:rPr>
        <w:t>profesionist</w:t>
      </w:r>
      <w:r>
        <w:rPr>
          <w:lang w:val="ro-RO"/>
        </w:rPr>
        <w:t xml:space="preserve"> </w:t>
      </w:r>
      <w:r w:rsidRPr="00AD3C3C">
        <w:rPr>
          <w:lang w:val="ro-RO"/>
        </w:rPr>
        <w:t>,se</w:t>
      </w:r>
      <w:r>
        <w:rPr>
          <w:lang w:val="ro-RO"/>
        </w:rPr>
        <w:t xml:space="preserve"> </w:t>
      </w:r>
      <w:r w:rsidRPr="00AD3C3C">
        <w:rPr>
          <w:lang w:val="ro-RO"/>
        </w:rPr>
        <w:t>poate</w:t>
      </w:r>
      <w:r>
        <w:rPr>
          <w:lang w:val="ro-RO"/>
        </w:rPr>
        <w:t xml:space="preserve"> </w:t>
      </w:r>
      <w:r w:rsidRPr="00AD3C3C">
        <w:rPr>
          <w:lang w:val="ro-RO"/>
        </w:rPr>
        <w:t>construi</w:t>
      </w:r>
      <w:r>
        <w:rPr>
          <w:lang w:val="ro-RO"/>
        </w:rPr>
        <w:t xml:space="preserve"> </w:t>
      </w:r>
      <w:r w:rsidRPr="00AD3C3C">
        <w:rPr>
          <w:lang w:val="ro-RO"/>
        </w:rPr>
        <w:t>un</w:t>
      </w:r>
      <w:r>
        <w:rPr>
          <w:lang w:val="ro-RO"/>
        </w:rPr>
        <w:t xml:space="preserve"> </w:t>
      </w:r>
      <w:r w:rsidRPr="00AD3C3C">
        <w:rPr>
          <w:lang w:val="ro-RO"/>
        </w:rPr>
        <w:t>sistem</w:t>
      </w:r>
      <w:r>
        <w:rPr>
          <w:lang w:val="ro-RO"/>
        </w:rPr>
        <w:t xml:space="preserve"> </w:t>
      </w:r>
      <w:r w:rsidRPr="00AD3C3C">
        <w:rPr>
          <w:lang w:val="ro-RO"/>
        </w:rPr>
        <w:t>de</w:t>
      </w:r>
      <w:r>
        <w:rPr>
          <w:lang w:val="ro-RO"/>
        </w:rPr>
        <w:t xml:space="preserve"> </w:t>
      </w:r>
      <w:r w:rsidRPr="00AD3C3C">
        <w:rPr>
          <w:lang w:val="ro-RO"/>
        </w:rPr>
        <w:t>protecție</w:t>
      </w:r>
      <w:r>
        <w:rPr>
          <w:lang w:val="ro-RO"/>
        </w:rPr>
        <w:t xml:space="preserve"> </w:t>
      </w:r>
      <w:r w:rsidRPr="00AD3C3C">
        <w:rPr>
          <w:lang w:val="ro-RO"/>
        </w:rPr>
        <w:t>socială</w:t>
      </w:r>
      <w:r>
        <w:rPr>
          <w:lang w:val="ro-RO"/>
        </w:rPr>
        <w:t xml:space="preserve"> </w:t>
      </w:r>
      <w:r w:rsidRPr="00AD3C3C">
        <w:rPr>
          <w:lang w:val="ro-RO"/>
        </w:rPr>
        <w:t>durabil,</w:t>
      </w:r>
      <w:r>
        <w:rPr>
          <w:lang w:val="ro-RO"/>
        </w:rPr>
        <w:t xml:space="preserve"> </w:t>
      </w:r>
      <w:r w:rsidRPr="00AD3C3C">
        <w:rPr>
          <w:lang w:val="ro-RO"/>
        </w:rPr>
        <w:t>echitabil</w:t>
      </w:r>
      <w:r>
        <w:rPr>
          <w:lang w:val="ro-RO"/>
        </w:rPr>
        <w:t xml:space="preserve"> </w:t>
      </w:r>
      <w:r w:rsidRPr="00AD3C3C">
        <w:rPr>
          <w:lang w:val="ro-RO"/>
        </w:rPr>
        <w:t>și</w:t>
      </w:r>
      <w:r>
        <w:rPr>
          <w:lang w:val="ro-RO"/>
        </w:rPr>
        <w:t xml:space="preserve"> </w:t>
      </w:r>
      <w:r w:rsidRPr="00AD3C3C">
        <w:rPr>
          <w:lang w:val="ro-RO"/>
        </w:rPr>
        <w:t>capabil</w:t>
      </w:r>
      <w:r>
        <w:rPr>
          <w:lang w:val="ro-RO"/>
        </w:rPr>
        <w:t xml:space="preserve"> </w:t>
      </w:r>
      <w:r w:rsidRPr="00AD3C3C">
        <w:rPr>
          <w:lang w:val="ro-RO"/>
        </w:rPr>
        <w:t>să</w:t>
      </w:r>
      <w:r>
        <w:rPr>
          <w:lang w:val="ro-RO"/>
        </w:rPr>
        <w:t xml:space="preserve"> </w:t>
      </w:r>
      <w:r w:rsidRPr="00AD3C3C">
        <w:rPr>
          <w:lang w:val="ro-RO"/>
        </w:rPr>
        <w:t>răspundă</w:t>
      </w:r>
      <w:r>
        <w:rPr>
          <w:lang w:val="ro-RO"/>
        </w:rPr>
        <w:t xml:space="preserve"> </w:t>
      </w:r>
      <w:r w:rsidRPr="00AD3C3C">
        <w:rPr>
          <w:lang w:val="ro-RO"/>
        </w:rPr>
        <w:t>nevoilor</w:t>
      </w:r>
      <w:r>
        <w:rPr>
          <w:lang w:val="ro-RO"/>
        </w:rPr>
        <w:t xml:space="preserve"> </w:t>
      </w:r>
      <w:r w:rsidRPr="00AD3C3C">
        <w:rPr>
          <w:lang w:val="ro-RO"/>
        </w:rPr>
        <w:t>unei</w:t>
      </w:r>
      <w:r>
        <w:rPr>
          <w:lang w:val="ro-RO"/>
        </w:rPr>
        <w:t xml:space="preserve"> </w:t>
      </w:r>
      <w:r w:rsidRPr="00AD3C3C">
        <w:rPr>
          <w:lang w:val="ro-RO"/>
        </w:rPr>
        <w:t>societăți</w:t>
      </w:r>
      <w:r>
        <w:rPr>
          <w:lang w:val="ro-RO"/>
        </w:rPr>
        <w:t xml:space="preserve"> </w:t>
      </w:r>
      <w:r w:rsidRPr="00AD3C3C">
        <w:rPr>
          <w:lang w:val="ro-RO"/>
        </w:rPr>
        <w:t>aflate</w:t>
      </w:r>
      <w:r>
        <w:rPr>
          <w:lang w:val="ro-RO"/>
        </w:rPr>
        <w:t xml:space="preserve"> </w:t>
      </w:r>
      <w:r w:rsidRPr="00AD3C3C">
        <w:rPr>
          <w:lang w:val="ro-RO"/>
        </w:rPr>
        <w:t>în</w:t>
      </w:r>
      <w:r>
        <w:rPr>
          <w:lang w:val="ro-RO"/>
        </w:rPr>
        <w:t xml:space="preserve"> </w:t>
      </w:r>
      <w:r w:rsidRPr="00AD3C3C">
        <w:rPr>
          <w:lang w:val="ro-RO"/>
        </w:rPr>
        <w:t>continuă</w:t>
      </w:r>
      <w:r>
        <w:rPr>
          <w:lang w:val="ro-RO"/>
        </w:rPr>
        <w:t xml:space="preserve"> </w:t>
      </w:r>
      <w:r w:rsidRPr="00AD3C3C">
        <w:rPr>
          <w:lang w:val="ro-RO"/>
        </w:rPr>
        <w:t>schimbare.</w:t>
      </w:r>
    </w:p>
    <w:sdt>
      <w:sdtPr>
        <w:rPr>
          <w:rFonts w:eastAsiaTheme="minorHAnsi" w:cstheme="minorBidi"/>
          <w:b w:val="0"/>
          <w:sz w:val="22"/>
          <w:szCs w:val="22"/>
          <w:lang w:val="ro-RO"/>
        </w:rPr>
        <w:id w:val="286870043"/>
        <w:docPartObj>
          <w:docPartGallery w:val="AutoText"/>
        </w:docPartObj>
      </w:sdtPr>
      <w:sdtContent>
        <w:p w14:paraId="343DD67D" w14:textId="77777777" w:rsidR="00527F5E" w:rsidRDefault="00000000">
          <w:pPr>
            <w:pStyle w:val="Heading2"/>
            <w:rPr>
              <w:lang w:val="ro-RO"/>
            </w:rPr>
          </w:pPr>
          <w:r>
            <w:rPr>
              <w:lang w:val="ro-RO"/>
            </w:rPr>
            <w:t>Bibliografie</w:t>
          </w:r>
        </w:p>
        <w:sdt>
          <w:sdtPr>
            <w:rPr>
              <w:lang w:val="ro-RO"/>
            </w:rPr>
            <w:id w:val="111145805"/>
          </w:sdtPr>
          <w:sdtContent>
            <w:p w14:paraId="435A40AB" w14:textId="77777777" w:rsidR="00527F5E" w:rsidRDefault="00000000">
              <w:pPr>
                <w:rPr>
                  <w:lang w:val="ro-RO"/>
                </w:rPr>
              </w:pPr>
              <w:r>
                <w:rPr>
                  <w:lang w:val="ro-RO"/>
                </w:rPr>
                <w:fldChar w:fldCharType="begin"/>
              </w:r>
              <w:r>
                <w:rPr>
                  <w:lang w:val="ro-RO"/>
                </w:rPr>
                <w:instrText>BIBLIOGRAPHY</w:instrText>
              </w:r>
              <w:r>
                <w:rPr>
                  <w:lang w:val="ro-RO"/>
                </w:rPr>
                <w:fldChar w:fldCharType="separate"/>
              </w:r>
            </w:p>
            <w:tbl>
              <w:tblPr>
                <w:tblW w:w="4962" w:type="pct"/>
                <w:tblCellSpacing w:w="15" w:type="dxa"/>
                <w:tblCellMar>
                  <w:top w:w="15" w:type="dxa"/>
                  <w:left w:w="15" w:type="dxa"/>
                  <w:bottom w:w="15" w:type="dxa"/>
                  <w:right w:w="15" w:type="dxa"/>
                </w:tblCellMar>
                <w:tblLook w:val="04A0" w:firstRow="1" w:lastRow="0" w:firstColumn="1" w:lastColumn="0" w:noHBand="0" w:noVBand="1"/>
              </w:tblPr>
              <w:tblGrid>
                <w:gridCol w:w="1085"/>
                <w:gridCol w:w="66"/>
                <w:gridCol w:w="8521"/>
              </w:tblGrid>
              <w:tr w:rsidR="00527F5E" w14:paraId="08431930" w14:textId="77777777">
                <w:trPr>
                  <w:tblCellSpacing w:w="15" w:type="dxa"/>
                </w:trPr>
                <w:tc>
                  <w:tcPr>
                    <w:tcW w:w="537" w:type="pct"/>
                  </w:tcPr>
                  <w:p w14:paraId="786FAFFE" w14:textId="700E180F" w:rsidR="00527F5E" w:rsidRDefault="00527F5E">
                    <w:pPr>
                      <w:pStyle w:val="Bibliography1"/>
                      <w:rPr>
                        <w:sz w:val="24"/>
                        <w:szCs w:val="24"/>
                        <w:lang w:val="ro-RO"/>
                      </w:rPr>
                    </w:pPr>
                  </w:p>
                </w:tc>
                <w:tc>
                  <w:tcPr>
                    <w:tcW w:w="19" w:type="pct"/>
                  </w:tcPr>
                  <w:p w14:paraId="6FBF953D" w14:textId="77777777" w:rsidR="00527F5E" w:rsidRDefault="00527F5E">
                    <w:pPr>
                      <w:pStyle w:val="Bibliography1"/>
                      <w:ind w:firstLine="0"/>
                      <w:rPr>
                        <w:lang w:val="ro-RO"/>
                      </w:rPr>
                    </w:pPr>
                  </w:p>
                </w:tc>
                <w:tc>
                  <w:tcPr>
                    <w:tcW w:w="4382" w:type="pct"/>
                  </w:tcPr>
                  <w:p w14:paraId="10C34263" w14:textId="77777777" w:rsidR="00527F5E" w:rsidRDefault="00527F5E">
                    <w:pPr>
                      <w:pStyle w:val="Bibliography1"/>
                      <w:ind w:firstLine="0"/>
                      <w:rPr>
                        <w:lang w:val="ro-RO"/>
                      </w:rPr>
                    </w:pPr>
                  </w:p>
                  <w:p w14:paraId="665F9C16" w14:textId="77777777" w:rsidR="00527F5E" w:rsidRDefault="00527F5E">
                    <w:pPr>
                      <w:pStyle w:val="Bibliography1"/>
                      <w:ind w:firstLine="0"/>
                      <w:rPr>
                        <w:lang w:val="ro-RO"/>
                      </w:rPr>
                    </w:pPr>
                  </w:p>
                  <w:p w14:paraId="7CF3E828" w14:textId="2E44A532" w:rsidR="00527F5E" w:rsidRDefault="0037479D">
                    <w:pPr>
                      <w:pStyle w:val="Bibliography1"/>
                      <w:ind w:firstLine="0"/>
                      <w:rPr>
                        <w:lang w:val="ro-RO"/>
                      </w:rPr>
                    </w:pPr>
                    <w:r>
                      <w:rPr>
                        <w:lang w:val="ro-RO"/>
                      </w:rPr>
                      <w:t>[1]. Zamfir, E. (1993). Dicționar de sociologie (coord. C. Zamfir &amp; L. Vlăsceanu). București: Editura Babel.</w:t>
                    </w:r>
                  </w:p>
                  <w:p w14:paraId="341E4383" w14:textId="77777777" w:rsidR="00527F5E" w:rsidRDefault="00527F5E">
                    <w:pPr>
                      <w:pStyle w:val="Bibliography1"/>
                      <w:ind w:firstLine="0"/>
                      <w:rPr>
                        <w:lang w:val="ro-RO"/>
                      </w:rPr>
                    </w:pPr>
                  </w:p>
                  <w:p w14:paraId="0878D437" w14:textId="5D3C43A9" w:rsidR="0037479D" w:rsidRDefault="0037479D" w:rsidP="0037479D">
                    <w:pPr>
                      <w:pStyle w:val="Bibliography1"/>
                      <w:ind w:firstLine="0"/>
                      <w:rPr>
                        <w:lang w:val="ro-RO"/>
                      </w:rPr>
                    </w:pPr>
                    <w:r>
                      <w:rPr>
                        <w:lang w:val="ro-RO"/>
                      </w:rPr>
                      <w:t xml:space="preserve">[2]. Zamfir, C., &amp; Zamfir, E. (1995). Politici sociale: România în context european. București: Editura Alternative. </w:t>
                    </w:r>
                  </w:p>
                  <w:p w14:paraId="134FED49" w14:textId="77777777" w:rsidR="0037479D" w:rsidRDefault="0037479D" w:rsidP="0037479D">
                    <w:pPr>
                      <w:pStyle w:val="Bibliography1"/>
                      <w:ind w:firstLine="0"/>
                      <w:rPr>
                        <w:lang w:val="ro-RO"/>
                      </w:rPr>
                    </w:pPr>
                  </w:p>
                  <w:p w14:paraId="0AF83E40" w14:textId="2ED5DAEB" w:rsidR="0037479D" w:rsidRDefault="0037479D" w:rsidP="0037479D">
                    <w:pPr>
                      <w:pStyle w:val="Bibliography1"/>
                      <w:ind w:firstLine="0"/>
                      <w:rPr>
                        <w:lang w:val="ro-RO"/>
                      </w:rPr>
                    </w:pPr>
                    <w:r>
                      <w:rPr>
                        <w:lang w:val="ro-RO"/>
                      </w:rPr>
                      <w:t>[3.] Pașa, F., &amp; Pașa, L. M. (2004). Asistența socială în România. Iași: Editura Polirom.</w:t>
                    </w:r>
                  </w:p>
                  <w:p w14:paraId="7916858B" w14:textId="77777777" w:rsidR="0037479D" w:rsidRPr="0037479D" w:rsidRDefault="0037479D" w:rsidP="0037479D">
                    <w:pPr>
                      <w:rPr>
                        <w:lang w:val="ro-RO"/>
                      </w:rPr>
                    </w:pPr>
                  </w:p>
                  <w:p w14:paraId="13138FE0" w14:textId="0B66E373" w:rsidR="0037479D" w:rsidRDefault="0037479D" w:rsidP="0037479D">
                    <w:pPr>
                      <w:pStyle w:val="Bibliography1"/>
                      <w:ind w:firstLine="0"/>
                      <w:rPr>
                        <w:lang w:val="ro-RO"/>
                      </w:rPr>
                    </w:pPr>
                    <w:r>
                      <w:rPr>
                        <w:lang w:val="ro-RO"/>
                      </w:rPr>
                      <w:t>[4[. Miftode, V. (2010). Tratat de asistență socială: Protecția populațiilor specifice și automarginalizate. Iași: Editura Lumen.</w:t>
                    </w:r>
                  </w:p>
                  <w:p w14:paraId="2EBE070B" w14:textId="77777777" w:rsidR="0037479D" w:rsidRPr="0037479D" w:rsidRDefault="0037479D" w:rsidP="0037479D">
                    <w:pPr>
                      <w:rPr>
                        <w:lang w:val="ro-RO"/>
                      </w:rPr>
                    </w:pPr>
                  </w:p>
                  <w:p w14:paraId="7C45E542" w14:textId="600DBA28" w:rsidR="0037479D" w:rsidRDefault="0037479D" w:rsidP="0037479D">
                    <w:pPr>
                      <w:pStyle w:val="Bibliography1"/>
                      <w:ind w:firstLine="0"/>
                      <w:rPr>
                        <w:lang w:val="ro-RO"/>
                      </w:rPr>
                    </w:pPr>
                  </w:p>
                  <w:p w14:paraId="0810D189" w14:textId="7078DE6F" w:rsidR="00527F5E" w:rsidRDefault="00527F5E">
                    <w:pPr>
                      <w:pStyle w:val="Bibliography1"/>
                      <w:ind w:firstLine="0"/>
                      <w:rPr>
                        <w:lang w:val="ro-RO"/>
                      </w:rPr>
                    </w:pPr>
                  </w:p>
                </w:tc>
              </w:tr>
            </w:tbl>
            <w:p w14:paraId="112A048E" w14:textId="77777777" w:rsidR="00527F5E" w:rsidRDefault="00527F5E">
              <w:pPr>
                <w:rPr>
                  <w:rFonts w:eastAsia="Times New Roman"/>
                  <w:lang w:val="ro-RO"/>
                </w:rPr>
              </w:pPr>
            </w:p>
            <w:p w14:paraId="13FD8552" w14:textId="77777777" w:rsidR="00527F5E" w:rsidRDefault="00000000">
              <w:pPr>
                <w:rPr>
                  <w:lang w:val="ro-RO"/>
                </w:rPr>
              </w:pPr>
              <w:r>
                <w:rPr>
                  <w:b/>
                  <w:bCs/>
                  <w:lang w:val="ro-RO"/>
                </w:rPr>
                <w:fldChar w:fldCharType="end"/>
              </w:r>
            </w:p>
          </w:sdtContent>
        </w:sdt>
      </w:sdtContent>
    </w:sdt>
    <w:p w14:paraId="7FF04412" w14:textId="77777777" w:rsidR="00527F5E" w:rsidRDefault="00527F5E">
      <w:pPr>
        <w:rPr>
          <w:lang w:val="ro-RO"/>
        </w:rPr>
      </w:pPr>
    </w:p>
    <w:sectPr w:rsidR="00527F5E">
      <w:type w:val="continuous"/>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54588" w14:textId="77777777" w:rsidR="00972701" w:rsidRDefault="00972701">
      <w:pPr>
        <w:spacing w:line="240" w:lineRule="auto"/>
      </w:pPr>
      <w:r>
        <w:separator/>
      </w:r>
    </w:p>
  </w:endnote>
  <w:endnote w:type="continuationSeparator" w:id="0">
    <w:p w14:paraId="1AAE9E3F" w14:textId="77777777" w:rsidR="00972701" w:rsidRDefault="00972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Pro">
    <w:altName w:val="Georgia"/>
    <w:charset w:val="00"/>
    <w:family w:val="roman"/>
    <w:pitch w:val="variable"/>
    <w:sig w:usb0="800002AF" w:usb1="00000003" w:usb2="00000000" w:usb3="00000000" w:csb0="0000009F" w:csb1="00000000"/>
  </w:font>
  <w:font w:name="Georgia Pro Black">
    <w:altName w:val="Georgia"/>
    <w:charset w:val="00"/>
    <w:family w:val="roman"/>
    <w:pitch w:val="variable"/>
    <w:sig w:usb0="800002AF" w:usb1="00000003" w:usb2="00000000" w:usb3="00000000" w:csb0="0000009F" w:csb1="00000000"/>
  </w:font>
  <w:font w:name="等线 Light">
    <w:altName w:val="Segoe Print"/>
    <w:charset w:val="00"/>
    <w:family w:val="auto"/>
    <w:pitch w:val="default"/>
  </w:font>
  <w:font w:name="Georgia Pro Semibold">
    <w:altName w:val="Georgia"/>
    <w:charset w:val="00"/>
    <w:family w:val="roman"/>
    <w:pitch w:val="variable"/>
    <w:sig w:usb0="800002AF" w:usb1="00000003" w:usb2="00000000" w:usb3="00000000" w:csb0="0000009F" w:csb1="00000000"/>
  </w:font>
  <w:font w:name="Georgia Pro Cond Light">
    <w:altName w:val="Georgia"/>
    <w:charset w:val="00"/>
    <w:family w:val="roman"/>
    <w:pitch w:val="default"/>
    <w:sig w:usb0="00000000" w:usb1="00000000" w:usb2="00000000" w:usb3="00000000" w:csb0="0000009F" w:csb1="00000000"/>
  </w:font>
  <w:font w:name="Source Sans Pro SemiBold">
    <w:altName w:val="Segoe Print"/>
    <w:charset w:val="00"/>
    <w:family w:val="swiss"/>
    <w:pitch w:val="variable"/>
    <w:sig w:usb0="600002F7" w:usb1="02000001" w:usb2="00000000" w:usb3="00000000" w:csb0="0000019F" w:csb1="00000000"/>
  </w:font>
  <w:font w:name="Source Sans Pro Light">
    <w:altName w:val="Segoe Print"/>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default"/>
    <w:sig w:usb0="E00006FF" w:usb1="420024FF" w:usb2="02000000" w:usb3="00000000" w:csb0="2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766088"/>
      <w:docPartObj>
        <w:docPartGallery w:val="AutoText"/>
      </w:docPartObj>
    </w:sdtPr>
    <w:sdtContent>
      <w:p w14:paraId="3B66F099" w14:textId="77777777" w:rsidR="00527F5E" w:rsidRDefault="00000000">
        <w:pPr>
          <w:pStyle w:val="Footer"/>
          <w:jc w:val="right"/>
        </w:pPr>
        <w:r>
          <w:rPr>
            <w:noProof/>
          </w:rPr>
          <w:drawing>
            <wp:anchor distT="0" distB="0" distL="114300" distR="114300" simplePos="0" relativeHeight="251660288" behindDoc="0" locked="0" layoutInCell="1" allowOverlap="1" wp14:anchorId="27DF8AB4" wp14:editId="45D8E81E">
              <wp:simplePos x="0" y="0"/>
              <wp:positionH relativeFrom="margin">
                <wp:align>left</wp:align>
              </wp:positionH>
              <wp:positionV relativeFrom="paragraph">
                <wp:posOffset>3810</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anchor>
          </w:drawing>
        </w:r>
        <w:r>
          <w:fldChar w:fldCharType="begin"/>
        </w:r>
        <w:r>
          <w:instrText xml:space="preserve"> PAGE   \* MERGEFORMAT </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093031"/>
      <w:docPartObj>
        <w:docPartGallery w:val="AutoText"/>
      </w:docPartObj>
    </w:sdtPr>
    <w:sdtContent>
      <w:p w14:paraId="7E3EA3CF" w14:textId="77777777" w:rsidR="00527F5E" w:rsidRDefault="00000000">
        <w:pPr>
          <w:pStyle w:val="Footer"/>
        </w:pPr>
        <w:r>
          <w:rPr>
            <w:noProof/>
          </w:rPr>
          <w:drawing>
            <wp:anchor distT="0" distB="0" distL="114300" distR="114300" simplePos="0" relativeHeight="251662336" behindDoc="0" locked="0" layoutInCell="1" allowOverlap="1" wp14:anchorId="2D4DA0BD" wp14:editId="161C4456">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anchor>
          </w:drawing>
        </w:r>
        <w:r>
          <w:fldChar w:fldCharType="begin"/>
        </w:r>
        <w:r>
          <w:instrText>PAGE   \* MERGEFORMAT</w:instrText>
        </w:r>
        <w:r>
          <w:fldChar w:fldCharType="separate"/>
        </w:r>
        <w:r>
          <w:rPr>
            <w:lang w:val="ro-RO"/>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CEED" w14:textId="77777777" w:rsidR="00527F5E" w:rsidRDefault="00000000">
    <w:pPr>
      <w:pStyle w:val="Footer"/>
      <w:ind w:firstLine="0"/>
      <w:jc w:val="left"/>
      <w:rPr>
        <w:rFonts w:ascii="Georgia Pro Cond Light" w:hAnsi="Georgia Pro Cond Light"/>
        <w:sz w:val="16"/>
        <w:szCs w:val="16"/>
      </w:rPr>
    </w:pPr>
    <w:r>
      <w:rPr>
        <w:rFonts w:eastAsia="DengXian"/>
        <w:noProof/>
      </w:rPr>
      <w:drawing>
        <wp:anchor distT="0" distB="0" distL="114300" distR="114300" simplePos="0" relativeHeight="251659264" behindDoc="0" locked="0" layoutInCell="1" allowOverlap="1" wp14:anchorId="55764A44" wp14:editId="360C074B">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2785" cy="249555"/>
                  </a:xfrm>
                  <a:prstGeom prst="rect">
                    <a:avLst/>
                  </a:prstGeom>
                  <a:noFill/>
                  <a:ln>
                    <a:noFill/>
                  </a:ln>
                </pic:spPr>
              </pic:pic>
            </a:graphicData>
          </a:graphic>
        </wp:anchor>
      </w:drawing>
    </w:r>
    <w:r>
      <w:rPr>
        <w:rFonts w:ascii="Georgia Pro Cond Light" w:hAnsi="Georgia Pro Cond Light"/>
        <w:sz w:val="16"/>
        <w:szCs w:val="16"/>
      </w:rPr>
      <w:t>Copyright © 2021 by the authors. Submitted for possible open access publication under the terms and conditions of the Creative Commons Attribution license (https://creativecommons.org/licenses/by/4.0/).</w:t>
    </w:r>
    <w:r>
      <w:t xml:space="preserve"> </w:t>
    </w:r>
    <w:r>
      <w:rPr>
        <w:rFonts w:ascii="Georgia Pro Cond Light" w:hAnsi="Georgia Pro Cond Light"/>
        <w:sz w:val="16"/>
        <w:szCs w:val="16"/>
      </w:rPr>
      <w:t>This work is licensed under CC BY 4.0</w:t>
    </w:r>
  </w:p>
  <w:p w14:paraId="2D42307E" w14:textId="77777777" w:rsidR="00527F5E" w:rsidRDefault="00000000">
    <w:pPr>
      <w:pStyle w:val="Footer"/>
      <w:ind w:firstLine="0"/>
      <w:jc w:val="left"/>
      <w:rPr>
        <w:rFonts w:ascii="Georgia Pro Cond Light" w:hAnsi="Georgia Pro Cond Light"/>
        <w:sz w:val="16"/>
        <w:szCs w:val="16"/>
      </w:rPr>
    </w:pPr>
    <w:r>
      <w:rPr>
        <w:rFonts w:ascii="Georgia Pro Cond Light" w:hAnsi="Georgia Pro Cond Light"/>
        <w:sz w:val="16"/>
        <w:szCs w:val="16"/>
      </w:rPr>
      <w:t xml:space="preserve">ISSN </w:t>
    </w:r>
  </w:p>
  <w:sdt>
    <w:sdtPr>
      <w:id w:val="-1466652577"/>
      <w:docPartObj>
        <w:docPartGallery w:val="AutoText"/>
      </w:docPartObj>
    </w:sdtPr>
    <w:sdtContent>
      <w:p w14:paraId="5F4B15CF" w14:textId="77777777" w:rsidR="00527F5E" w:rsidRDefault="00000000">
        <w:pPr>
          <w:pStyle w:val="Footer"/>
          <w:jc w:val="center"/>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94042" w14:textId="77777777" w:rsidR="00972701" w:rsidRDefault="00972701">
      <w:r>
        <w:separator/>
      </w:r>
    </w:p>
  </w:footnote>
  <w:footnote w:type="continuationSeparator" w:id="0">
    <w:p w14:paraId="6BC26BD6" w14:textId="77777777" w:rsidR="00972701" w:rsidRDefault="0097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527F5E" w14:paraId="61F74B62" w14:textId="77777777">
      <w:tc>
        <w:tcPr>
          <w:tcW w:w="4868" w:type="dxa"/>
        </w:tcPr>
        <w:p w14:paraId="7BEA3DEB" w14:textId="77777777" w:rsidR="00527F5E" w:rsidRDefault="00000000">
          <w:pPr>
            <w:pStyle w:val="Header"/>
            <w:ind w:hanging="110"/>
            <w:rPr>
              <w:rFonts w:ascii="Source Sans Pro SemiBold" w:hAnsi="Source Sans Pro SemiBold"/>
              <w:lang w:val="ro-RO"/>
            </w:rPr>
          </w:pPr>
          <w:r>
            <w:rPr>
              <w:rFonts w:ascii="Source Sans Pro SemiBold" w:hAnsi="Source Sans Pro SemiBold"/>
              <w:lang w:val="ro-RO"/>
            </w:rPr>
            <w:t>Journal XGEN, No. 3, 2024</w:t>
          </w:r>
        </w:p>
      </w:tc>
      <w:tc>
        <w:tcPr>
          <w:tcW w:w="4868" w:type="dxa"/>
        </w:tcPr>
        <w:p w14:paraId="64566897" w14:textId="77777777" w:rsidR="00527F5E" w:rsidRDefault="00000000">
          <w:pPr>
            <w:pStyle w:val="Header"/>
            <w:ind w:right="-113" w:firstLine="0"/>
            <w:jc w:val="right"/>
            <w:rPr>
              <w:rFonts w:ascii="Source Sans Pro Light" w:hAnsi="Source Sans Pro Light"/>
              <w:lang w:val="ro-RO"/>
            </w:rPr>
          </w:pPr>
          <w:r>
            <w:rPr>
              <w:rFonts w:ascii="Source Sans Pro Light" w:hAnsi="Source Sans Pro Light"/>
              <w:lang w:val="ro-RO"/>
            </w:rPr>
            <w:t>http://www.xgenjournal.org</w:t>
          </w:r>
        </w:p>
      </w:tc>
    </w:tr>
  </w:tbl>
  <w:p w14:paraId="6713E955" w14:textId="77777777" w:rsidR="00527F5E" w:rsidRDefault="00527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527F5E" w14:paraId="1C8A4480" w14:textId="77777777">
      <w:tc>
        <w:tcPr>
          <w:tcW w:w="4868" w:type="dxa"/>
        </w:tcPr>
        <w:p w14:paraId="682555F5" w14:textId="77777777" w:rsidR="00527F5E" w:rsidRDefault="00527F5E">
          <w:pPr>
            <w:pStyle w:val="Header"/>
            <w:ind w:firstLine="0"/>
            <w:rPr>
              <w:rFonts w:ascii="Source Sans Pro SemiBold" w:hAnsi="Source Sans Pro SemiBold"/>
              <w:lang w:val="ro-RO"/>
            </w:rPr>
          </w:pPr>
        </w:p>
      </w:tc>
      <w:tc>
        <w:tcPr>
          <w:tcW w:w="4868" w:type="dxa"/>
        </w:tcPr>
        <w:p w14:paraId="7B5F92A9" w14:textId="77777777" w:rsidR="00527F5E" w:rsidRDefault="00000000">
          <w:pPr>
            <w:pStyle w:val="Header"/>
            <w:ind w:right="-113" w:firstLine="0"/>
            <w:jc w:val="right"/>
            <w:rPr>
              <w:rFonts w:ascii="Source Sans Pro Light" w:hAnsi="Source Sans Pro Light"/>
              <w:lang w:val="ro-RO"/>
            </w:rPr>
          </w:pPr>
          <w:r>
            <w:rPr>
              <w:rFonts w:ascii="Source Sans Pro Light" w:hAnsi="Source Sans Pro Light"/>
              <w:lang w:val="ro-RO"/>
            </w:rPr>
            <w:t>g</w:t>
          </w:r>
        </w:p>
      </w:tc>
    </w:tr>
  </w:tbl>
  <w:p w14:paraId="7F729393" w14:textId="77777777" w:rsidR="00527F5E" w:rsidRDefault="00527F5E">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527F5E" w14:paraId="7AD0E12D" w14:textId="77777777">
      <w:tc>
        <w:tcPr>
          <w:tcW w:w="4868" w:type="dxa"/>
        </w:tcPr>
        <w:p w14:paraId="38927019" w14:textId="77777777" w:rsidR="00527F5E" w:rsidRDefault="00000000">
          <w:pPr>
            <w:pStyle w:val="Header"/>
            <w:ind w:left="-110" w:firstLine="0"/>
            <w:rPr>
              <w:rFonts w:ascii="Source Sans Pro SemiBold" w:hAnsi="Source Sans Pro SemiBold"/>
              <w:lang w:val="ro-RO"/>
            </w:rPr>
          </w:pPr>
          <w:r>
            <w:rPr>
              <w:rFonts w:ascii="Source Sans Pro SemiBold" w:hAnsi="Source Sans Pro SemiBold"/>
              <w:lang w:val="ro-RO"/>
            </w:rPr>
            <w:t>Journal XGEN, No. 3, 2024</w:t>
          </w:r>
        </w:p>
      </w:tc>
      <w:tc>
        <w:tcPr>
          <w:tcW w:w="4868" w:type="dxa"/>
        </w:tcPr>
        <w:p w14:paraId="64E330B8" w14:textId="77777777" w:rsidR="00527F5E" w:rsidRDefault="00000000">
          <w:pPr>
            <w:pStyle w:val="Header"/>
            <w:tabs>
              <w:tab w:val="clear" w:pos="4513"/>
              <w:tab w:val="center" w:pos="4649"/>
            </w:tabs>
            <w:ind w:right="-113" w:firstLine="0"/>
            <w:jc w:val="right"/>
            <w:rPr>
              <w:rFonts w:ascii="Source Sans Pro Light" w:hAnsi="Source Sans Pro Light"/>
              <w:lang w:val="ro-RO"/>
            </w:rPr>
          </w:pPr>
          <w:r>
            <w:rPr>
              <w:rFonts w:ascii="Source Sans Pro Light" w:hAnsi="Source Sans Pro Light"/>
              <w:lang w:val="ro-RO"/>
            </w:rPr>
            <w:t>http://www.opacj.org</w:t>
          </w:r>
        </w:p>
      </w:tc>
    </w:tr>
  </w:tbl>
  <w:p w14:paraId="3A5B6F7D" w14:textId="77777777" w:rsidR="00527F5E" w:rsidRDefault="00527F5E">
    <w:pPr>
      <w:pStyle w:val="Header"/>
      <w:ind w:firstLine="0"/>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A4"/>
    <w:rsid w:val="0005466B"/>
    <w:rsid w:val="00072AF1"/>
    <w:rsid w:val="00087E69"/>
    <w:rsid w:val="0009417E"/>
    <w:rsid w:val="000A4862"/>
    <w:rsid w:val="000A6FD8"/>
    <w:rsid w:val="000D5B03"/>
    <w:rsid w:val="000E549E"/>
    <w:rsid w:val="001231A3"/>
    <w:rsid w:val="00134AB7"/>
    <w:rsid w:val="001373E7"/>
    <w:rsid w:val="0014134D"/>
    <w:rsid w:val="001514D8"/>
    <w:rsid w:val="001601CA"/>
    <w:rsid w:val="001634DD"/>
    <w:rsid w:val="00173F8A"/>
    <w:rsid w:val="0018611C"/>
    <w:rsid w:val="001A7CCB"/>
    <w:rsid w:val="001B0FF9"/>
    <w:rsid w:val="001E2B26"/>
    <w:rsid w:val="002019AE"/>
    <w:rsid w:val="00212BC6"/>
    <w:rsid w:val="00250898"/>
    <w:rsid w:val="002509F1"/>
    <w:rsid w:val="002523B8"/>
    <w:rsid w:val="0025463F"/>
    <w:rsid w:val="00267418"/>
    <w:rsid w:val="00296BF5"/>
    <w:rsid w:val="002D67D8"/>
    <w:rsid w:val="00314E6E"/>
    <w:rsid w:val="003251D9"/>
    <w:rsid w:val="0033372B"/>
    <w:rsid w:val="003413A3"/>
    <w:rsid w:val="0034162B"/>
    <w:rsid w:val="00345C49"/>
    <w:rsid w:val="00370577"/>
    <w:rsid w:val="0037479D"/>
    <w:rsid w:val="003964EB"/>
    <w:rsid w:val="003A08DB"/>
    <w:rsid w:val="003A2130"/>
    <w:rsid w:val="003A6E27"/>
    <w:rsid w:val="003D50DE"/>
    <w:rsid w:val="003D7B5E"/>
    <w:rsid w:val="003E70DA"/>
    <w:rsid w:val="0041428B"/>
    <w:rsid w:val="00415973"/>
    <w:rsid w:val="00426725"/>
    <w:rsid w:val="00440162"/>
    <w:rsid w:val="0045384A"/>
    <w:rsid w:val="00454B16"/>
    <w:rsid w:val="00465B0B"/>
    <w:rsid w:val="00471952"/>
    <w:rsid w:val="004A19B2"/>
    <w:rsid w:val="004A43E2"/>
    <w:rsid w:val="004E20B9"/>
    <w:rsid w:val="004E214E"/>
    <w:rsid w:val="004E7F40"/>
    <w:rsid w:val="004F75D3"/>
    <w:rsid w:val="00525183"/>
    <w:rsid w:val="00527F5E"/>
    <w:rsid w:val="00541C69"/>
    <w:rsid w:val="00547FE8"/>
    <w:rsid w:val="00555663"/>
    <w:rsid w:val="0056400F"/>
    <w:rsid w:val="00566D68"/>
    <w:rsid w:val="005762FA"/>
    <w:rsid w:val="00590565"/>
    <w:rsid w:val="00590C62"/>
    <w:rsid w:val="005A232C"/>
    <w:rsid w:val="005D0E91"/>
    <w:rsid w:val="005D162A"/>
    <w:rsid w:val="005E050E"/>
    <w:rsid w:val="005E0EBF"/>
    <w:rsid w:val="005E72AD"/>
    <w:rsid w:val="006356E8"/>
    <w:rsid w:val="00645718"/>
    <w:rsid w:val="00681EA4"/>
    <w:rsid w:val="00690F07"/>
    <w:rsid w:val="006967BD"/>
    <w:rsid w:val="006B5AAC"/>
    <w:rsid w:val="006D0505"/>
    <w:rsid w:val="006E5C1E"/>
    <w:rsid w:val="00731543"/>
    <w:rsid w:val="0077784E"/>
    <w:rsid w:val="007913EA"/>
    <w:rsid w:val="007A3745"/>
    <w:rsid w:val="007A3A66"/>
    <w:rsid w:val="007A4E26"/>
    <w:rsid w:val="007A6061"/>
    <w:rsid w:val="007A7CEF"/>
    <w:rsid w:val="007D07C5"/>
    <w:rsid w:val="007E0293"/>
    <w:rsid w:val="007E5D88"/>
    <w:rsid w:val="007F4540"/>
    <w:rsid w:val="008018AE"/>
    <w:rsid w:val="00825212"/>
    <w:rsid w:val="008570BB"/>
    <w:rsid w:val="0086666D"/>
    <w:rsid w:val="008718D0"/>
    <w:rsid w:val="008C0236"/>
    <w:rsid w:val="008C2B85"/>
    <w:rsid w:val="008C7AFF"/>
    <w:rsid w:val="008D7BB5"/>
    <w:rsid w:val="008F044F"/>
    <w:rsid w:val="00901D18"/>
    <w:rsid w:val="0090538C"/>
    <w:rsid w:val="00910BA6"/>
    <w:rsid w:val="0091111E"/>
    <w:rsid w:val="0094332D"/>
    <w:rsid w:val="0095682F"/>
    <w:rsid w:val="00972701"/>
    <w:rsid w:val="00993B5B"/>
    <w:rsid w:val="009B4C26"/>
    <w:rsid w:val="009C170F"/>
    <w:rsid w:val="009D3C73"/>
    <w:rsid w:val="009D6A98"/>
    <w:rsid w:val="00A05D76"/>
    <w:rsid w:val="00A2144D"/>
    <w:rsid w:val="00A243EE"/>
    <w:rsid w:val="00A34F2C"/>
    <w:rsid w:val="00A3660B"/>
    <w:rsid w:val="00A41836"/>
    <w:rsid w:val="00A47F71"/>
    <w:rsid w:val="00A574E8"/>
    <w:rsid w:val="00A7719D"/>
    <w:rsid w:val="00A80562"/>
    <w:rsid w:val="00AB559B"/>
    <w:rsid w:val="00AB74A0"/>
    <w:rsid w:val="00AD3C3C"/>
    <w:rsid w:val="00B03A93"/>
    <w:rsid w:val="00B47715"/>
    <w:rsid w:val="00B639D0"/>
    <w:rsid w:val="00B76744"/>
    <w:rsid w:val="00B93BFA"/>
    <w:rsid w:val="00BA25BC"/>
    <w:rsid w:val="00C05502"/>
    <w:rsid w:val="00C14AB0"/>
    <w:rsid w:val="00C2460D"/>
    <w:rsid w:val="00C63407"/>
    <w:rsid w:val="00C70272"/>
    <w:rsid w:val="00C84E44"/>
    <w:rsid w:val="00C94015"/>
    <w:rsid w:val="00C94482"/>
    <w:rsid w:val="00CA6D70"/>
    <w:rsid w:val="00CA7C0A"/>
    <w:rsid w:val="00CB2A86"/>
    <w:rsid w:val="00CC31C9"/>
    <w:rsid w:val="00CD04D9"/>
    <w:rsid w:val="00CD266C"/>
    <w:rsid w:val="00CE2B2F"/>
    <w:rsid w:val="00CE39D1"/>
    <w:rsid w:val="00D0020D"/>
    <w:rsid w:val="00D01215"/>
    <w:rsid w:val="00D12067"/>
    <w:rsid w:val="00D14141"/>
    <w:rsid w:val="00D1521B"/>
    <w:rsid w:val="00D17B18"/>
    <w:rsid w:val="00D24CE1"/>
    <w:rsid w:val="00D347FC"/>
    <w:rsid w:val="00D50F3F"/>
    <w:rsid w:val="00D82C5E"/>
    <w:rsid w:val="00D84EB7"/>
    <w:rsid w:val="00D9537B"/>
    <w:rsid w:val="00DB236B"/>
    <w:rsid w:val="00DD0EC3"/>
    <w:rsid w:val="00DF7E2D"/>
    <w:rsid w:val="00E22573"/>
    <w:rsid w:val="00E3005B"/>
    <w:rsid w:val="00E4644F"/>
    <w:rsid w:val="00E6787B"/>
    <w:rsid w:val="00E80A3D"/>
    <w:rsid w:val="00E853D0"/>
    <w:rsid w:val="00E858E2"/>
    <w:rsid w:val="00EC6E85"/>
    <w:rsid w:val="00EF5800"/>
    <w:rsid w:val="00F02433"/>
    <w:rsid w:val="00F14370"/>
    <w:rsid w:val="00F2164A"/>
    <w:rsid w:val="00F56834"/>
    <w:rsid w:val="00F64D50"/>
    <w:rsid w:val="00F7011A"/>
    <w:rsid w:val="00F86B98"/>
    <w:rsid w:val="00F94517"/>
    <w:rsid w:val="00F95B6B"/>
    <w:rsid w:val="00FA3573"/>
    <w:rsid w:val="00FB2524"/>
    <w:rsid w:val="00FC3C21"/>
    <w:rsid w:val="00FC6818"/>
    <w:rsid w:val="00FD62F6"/>
    <w:rsid w:val="00FF1DCE"/>
    <w:rsid w:val="077B78D4"/>
    <w:rsid w:val="0A470CEC"/>
    <w:rsid w:val="1C2A2C3E"/>
    <w:rsid w:val="1E34141D"/>
    <w:rsid w:val="42800DA9"/>
    <w:rsid w:val="4C147660"/>
    <w:rsid w:val="7E52614D"/>
    <w:rsid w:val="7F193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4733E8"/>
  <w15:docId w15:val="{AED64206-FC13-4C45-AD7B-924EB4D5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ind w:firstLine="720"/>
      <w:jc w:val="both"/>
    </w:pPr>
    <w:rPr>
      <w:rFonts w:ascii="Georgia Pro" w:hAnsi="Georgia Pro"/>
      <w:sz w:val="22"/>
      <w:szCs w:val="22"/>
      <w:lang w:val="en-US" w:eastAsia="en-US"/>
    </w:rPr>
  </w:style>
  <w:style w:type="paragraph" w:styleId="Heading1">
    <w:name w:val="heading 1"/>
    <w:basedOn w:val="Normal"/>
    <w:next w:val="Normal"/>
    <w:link w:val="Heading1Char"/>
    <w:uiPriority w:val="9"/>
    <w:qFormat/>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Heading2">
    <w:name w:val="heading 2"/>
    <w:basedOn w:val="Normal"/>
    <w:next w:val="Normal"/>
    <w:link w:val="Heading2Char"/>
    <w:uiPriority w:val="9"/>
    <w:unhideWhenUsed/>
    <w:qFormat/>
    <w:pPr>
      <w:keepNext/>
      <w:keepLines/>
      <w:spacing w:before="240" w:after="240"/>
      <w:ind w:firstLine="0"/>
      <w:jc w:val="left"/>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rFonts w:ascii="Georgia Pro Cond Light" w:hAnsi="Georgia Pro Cond Light"/>
      <w:i/>
      <w:iCs/>
      <w:sz w:val="20"/>
    </w:rPr>
  </w:style>
  <w:style w:type="paragraph" w:styleId="Footer">
    <w:name w:val="footer"/>
    <w:basedOn w:val="Normal"/>
    <w:link w:val="FooterChar"/>
    <w:uiPriority w:val="99"/>
    <w:unhideWhenUsed/>
    <w:pPr>
      <w:tabs>
        <w:tab w:val="center" w:pos="4513"/>
        <w:tab w:val="right" w:pos="9026"/>
      </w:tabs>
      <w:spacing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paragraph" w:styleId="Header">
    <w:name w:val="header"/>
    <w:basedOn w:val="Normal"/>
    <w:link w:val="HeaderChar"/>
    <w:uiPriority w:val="99"/>
    <w:unhideWhenUsed/>
    <w:pPr>
      <w:tabs>
        <w:tab w:val="center" w:pos="4513"/>
        <w:tab w:val="right" w:pos="9026"/>
      </w:tabs>
      <w:spacing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Georgia Pro Black" w:eastAsiaTheme="majorEastAsia" w:hAnsi="Georgia Pro Black" w:cstheme="majorBidi"/>
      <w:b/>
      <w:sz w:val="32"/>
      <w:szCs w:val="32"/>
    </w:rPr>
  </w:style>
  <w:style w:type="character" w:customStyle="1" w:styleId="Heading2Char">
    <w:name w:val="Heading 2 Char"/>
    <w:basedOn w:val="DefaultParagraphFont"/>
    <w:link w:val="Heading2"/>
    <w:uiPriority w:val="9"/>
    <w:rPr>
      <w:rFonts w:ascii="Georgia Pro" w:eastAsiaTheme="majorEastAsia" w:hAnsi="Georgia Pro" w:cstheme="majorBidi"/>
      <w:b/>
      <w:sz w:val="26"/>
      <w:szCs w:val="26"/>
    </w:rPr>
  </w:style>
  <w:style w:type="character" w:customStyle="1" w:styleId="FootnoteTextChar">
    <w:name w:val="Footnote Text Char"/>
    <w:basedOn w:val="DefaultParagraphFont"/>
    <w:link w:val="FootnoteText"/>
    <w:uiPriority w:val="99"/>
    <w:semiHidden/>
    <w:rPr>
      <w:rFonts w:ascii="Georgia Pro" w:hAnsi="Georgia Pro"/>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rFonts w:ascii="Georgia Pro" w:hAnsi="Georgia Pro"/>
    </w:rPr>
  </w:style>
  <w:style w:type="character" w:customStyle="1" w:styleId="FooterChar">
    <w:name w:val="Footer Char"/>
    <w:basedOn w:val="DefaultParagraphFont"/>
    <w:link w:val="Footer"/>
    <w:uiPriority w:val="99"/>
    <w:rPr>
      <w:rFonts w:ascii="Georgia Pro" w:hAnsi="Georgia Pro"/>
    </w:rPr>
  </w:style>
  <w:style w:type="character" w:styleId="PlaceholderText">
    <w:name w:val="Placeholder Text"/>
    <w:basedOn w:val="DefaultParagraphFont"/>
    <w:uiPriority w:val="99"/>
    <w:semiHidden/>
    <w:rPr>
      <w:color w:val="808080"/>
    </w:rPr>
  </w:style>
  <w:style w:type="paragraph" w:customStyle="1" w:styleId="Bibliography1">
    <w:name w:val="Bibliography1"/>
    <w:basedOn w:val="Normal"/>
    <w:next w:val="Normal"/>
    <w:uiPriority w:val="37"/>
    <w:unhideWhenUsed/>
  </w:style>
  <w:style w:type="character" w:customStyle="1" w:styleId="Heading3Char">
    <w:name w:val="Heading 3 Char"/>
    <w:basedOn w:val="DefaultParagraphFont"/>
    <w:link w:val="Heading3"/>
    <w:uiPriority w:val="9"/>
    <w:rPr>
      <w:rFonts w:ascii="Georgia Pro Semibold" w:eastAsiaTheme="majorEastAsia" w:hAnsi="Georgia Pro Semibold" w:cstheme="majorBidi"/>
      <w:color w:val="000000" w:themeColor="text1"/>
      <w:sz w:val="24"/>
      <w:szCs w:val="24"/>
    </w:rPr>
  </w:style>
  <w:style w:type="character" w:customStyle="1" w:styleId="CommentTextChar">
    <w:name w:val="Comment Text Char"/>
    <w:basedOn w:val="DefaultParagraphFont"/>
    <w:link w:val="CommentText"/>
    <w:uiPriority w:val="99"/>
    <w:semiHidden/>
    <w:rPr>
      <w:rFonts w:ascii="Georgia Pro" w:hAnsi="Georgia Pro"/>
      <w:sz w:val="20"/>
      <w:szCs w:val="20"/>
    </w:rPr>
  </w:style>
  <w:style w:type="character" w:customStyle="1" w:styleId="CommentSubjectChar">
    <w:name w:val="Comment Subject Char"/>
    <w:basedOn w:val="CommentTextChar"/>
    <w:link w:val="CommentSubject"/>
    <w:uiPriority w:val="99"/>
    <w:semiHidden/>
    <w:rPr>
      <w:rFonts w:ascii="Georgia Pro" w:hAnsi="Georgia Pro"/>
      <w:b/>
      <w:bCs/>
      <w:sz w:val="20"/>
      <w:szCs w:val="20"/>
    </w:rPr>
  </w:style>
  <w:style w:type="paragraph" w:styleId="Revision">
    <w:name w:val="Revision"/>
    <w:hidden/>
    <w:uiPriority w:val="99"/>
    <w:unhideWhenUsed/>
    <w:rsid w:val="004A19B2"/>
    <w:rPr>
      <w:rFonts w:ascii="Georgia Pro" w:hAnsi="Georgia Pr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blagadianaalina25@gmail.com" TargetMode="External"/><Relationship Id="rId26"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oragavris17@gmail.com" TargetMode="External"/><Relationship Id="rId25"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4.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chart" Target="charts/chart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ora\Desktop\Microsoft%20Excel%20Worksheet%20nou.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ora\Desktop\Microsoft%20Excel%20Worksheet%20nou.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Dora\Desktop\conferinta.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Dora\Desktop\conferinta.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Dora\Desktop\conferinta%202.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Dora\Desktop\conferinta%202.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ro-RO"/>
              <a:t>Evoluția ratei de înlocuire în România</a:t>
            </a:r>
          </a:p>
        </c:rich>
      </c:tx>
      <c:overlay val="0"/>
      <c:spPr>
        <a:noFill/>
        <a:ln>
          <a:noFill/>
        </a:ln>
        <a:effectLst/>
      </c:spPr>
      <c:txPr>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endParaRPr lang="ro-RO"/>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Sheet1!$A$1:$J$1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Sheet1!$A$2:$J$2</c:f>
              <c:numCache>
                <c:formatCode>0%</c:formatCode>
                <c:ptCount val="10"/>
                <c:pt idx="0">
                  <c:v>0.67</c:v>
                </c:pt>
                <c:pt idx="1">
                  <c:v>0.65</c:v>
                </c:pt>
                <c:pt idx="2">
                  <c:v>0.66</c:v>
                </c:pt>
                <c:pt idx="3">
                  <c:v>0.64</c:v>
                </c:pt>
                <c:pt idx="4">
                  <c:v>0.53</c:v>
                </c:pt>
                <c:pt idx="5">
                  <c:v>0.41</c:v>
                </c:pt>
                <c:pt idx="6">
                  <c:v>0.42</c:v>
                </c:pt>
                <c:pt idx="7">
                  <c:v>0.43</c:v>
                </c:pt>
                <c:pt idx="8">
                  <c:v>0.52</c:v>
                </c:pt>
                <c:pt idx="9">
                  <c:v>0.48</c:v>
                </c:pt>
              </c:numCache>
            </c:numRef>
          </c:val>
          <c:extLst>
            <c:ext xmlns:c16="http://schemas.microsoft.com/office/drawing/2014/chart" uri="{C3380CC4-5D6E-409C-BE32-E72D297353CC}">
              <c16:uniqueId val="{00000000-E20D-4D1B-AAD3-C8F662D210B4}"/>
            </c:ext>
          </c:extLst>
        </c:ser>
        <c:dLbls>
          <c:showLegendKey val="0"/>
          <c:showVal val="1"/>
          <c:showCatName val="0"/>
          <c:showSerName val="0"/>
          <c:showPercent val="0"/>
          <c:showBubbleSize val="0"/>
        </c:dLbls>
        <c:gapWidth val="100"/>
        <c:overlap val="-24"/>
        <c:axId val="126272384"/>
        <c:axId val="126270464"/>
      </c:barChart>
      <c:catAx>
        <c:axId val="1262723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o-RO"/>
          </a:p>
        </c:txPr>
        <c:crossAx val="126270464"/>
        <c:crosses val="autoZero"/>
        <c:auto val="1"/>
        <c:lblAlgn val="ctr"/>
        <c:lblOffset val="100"/>
        <c:noMultiLvlLbl val="0"/>
      </c:catAx>
      <c:valAx>
        <c:axId val="126270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o-RO"/>
          </a:p>
        </c:txPr>
        <c:crossAx val="126272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ro-R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Sheet2!$A$1:$AE$1</c:f>
              <c:strCache>
                <c:ptCount val="31"/>
                <c:pt idx="0">
                  <c:v>Lituania</c:v>
                </c:pt>
                <c:pt idx="1">
                  <c:v>Croația</c:v>
                </c:pt>
                <c:pt idx="2">
                  <c:v>Bulgaria</c:v>
                </c:pt>
                <c:pt idx="3">
                  <c:v>Irlanda</c:v>
                </c:pt>
                <c:pt idx="4">
                  <c:v>Montenegro</c:v>
                </c:pt>
                <c:pt idx="5">
                  <c:v>Cipru</c:v>
                </c:pt>
                <c:pt idx="6">
                  <c:v>Slovenia</c:v>
                </c:pt>
                <c:pt idx="7">
                  <c:v>Letonia</c:v>
                </c:pt>
                <c:pt idx="8">
                  <c:v>Serbia</c:v>
                </c:pt>
                <c:pt idx="9">
                  <c:v>Belgia</c:v>
                </c:pt>
                <c:pt idx="10">
                  <c:v>Danemarca</c:v>
                </c:pt>
                <c:pt idx="11">
                  <c:v>Elveția</c:v>
                </c:pt>
                <c:pt idx="12">
                  <c:v>Germania</c:v>
                </c:pt>
                <c:pt idx="13">
                  <c:v>Cehia</c:v>
                </c:pt>
                <c:pt idx="14">
                  <c:v>Estonia</c:v>
                </c:pt>
                <c:pt idx="15">
                  <c:v>România</c:v>
                </c:pt>
                <c:pt idx="16">
                  <c:v>Ungaria</c:v>
                </c:pt>
                <c:pt idx="17">
                  <c:v>Malta</c:v>
                </c:pt>
                <c:pt idx="18">
                  <c:v>Finlanda</c:v>
                </c:pt>
                <c:pt idx="19">
                  <c:v>Țările de jos</c:v>
                </c:pt>
                <c:pt idx="20">
                  <c:v>Norvegia</c:v>
                </c:pt>
                <c:pt idx="21">
                  <c:v>Austria</c:v>
                </c:pt>
                <c:pt idx="22">
                  <c:v>Suedia</c:v>
                </c:pt>
                <c:pt idx="23">
                  <c:v>Franța</c:v>
                </c:pt>
                <c:pt idx="24">
                  <c:v>Polonia</c:v>
                </c:pt>
                <c:pt idx="25">
                  <c:v>Slovacia</c:v>
                </c:pt>
                <c:pt idx="26">
                  <c:v>Portugalia</c:v>
                </c:pt>
                <c:pt idx="27">
                  <c:v>Grecia</c:v>
                </c:pt>
                <c:pt idx="28">
                  <c:v>Italia</c:v>
                </c:pt>
                <c:pt idx="29">
                  <c:v>Spania</c:v>
                </c:pt>
                <c:pt idx="30">
                  <c:v>Luxemburg</c:v>
                </c:pt>
              </c:strCache>
            </c:strRef>
          </c:cat>
          <c:val>
            <c:numRef>
              <c:f>Sheet2!$A$2:$AE$2</c:f>
              <c:numCache>
                <c:formatCode>0%</c:formatCode>
                <c:ptCount val="31"/>
                <c:pt idx="0">
                  <c:v>0.35</c:v>
                </c:pt>
                <c:pt idx="1">
                  <c:v>0.36</c:v>
                </c:pt>
                <c:pt idx="2">
                  <c:v>0.38</c:v>
                </c:pt>
                <c:pt idx="3">
                  <c:v>0.38</c:v>
                </c:pt>
                <c:pt idx="4">
                  <c:v>0.38</c:v>
                </c:pt>
                <c:pt idx="5">
                  <c:v>0.44</c:v>
                </c:pt>
                <c:pt idx="6">
                  <c:v>0.44</c:v>
                </c:pt>
                <c:pt idx="7">
                  <c:v>0.45</c:v>
                </c:pt>
                <c:pt idx="8">
                  <c:v>0.46</c:v>
                </c:pt>
                <c:pt idx="9">
                  <c:v>0.47</c:v>
                </c:pt>
                <c:pt idx="10">
                  <c:v>0.47</c:v>
                </c:pt>
                <c:pt idx="11">
                  <c:v>0.47</c:v>
                </c:pt>
                <c:pt idx="12">
                  <c:v>0.48</c:v>
                </c:pt>
                <c:pt idx="13">
                  <c:v>0.49</c:v>
                </c:pt>
                <c:pt idx="14">
                  <c:v>0.49</c:v>
                </c:pt>
                <c:pt idx="15">
                  <c:v>0.52</c:v>
                </c:pt>
                <c:pt idx="16">
                  <c:v>0.53</c:v>
                </c:pt>
                <c:pt idx="17">
                  <c:v>0.53</c:v>
                </c:pt>
                <c:pt idx="18">
                  <c:v>0.53</c:v>
                </c:pt>
                <c:pt idx="19">
                  <c:v>0.55000000000000004</c:v>
                </c:pt>
                <c:pt idx="20">
                  <c:v>0.56000000000000005</c:v>
                </c:pt>
                <c:pt idx="21">
                  <c:v>0.56999999999999995</c:v>
                </c:pt>
                <c:pt idx="22">
                  <c:v>0.56999999999999995</c:v>
                </c:pt>
                <c:pt idx="23">
                  <c:v>0.6</c:v>
                </c:pt>
                <c:pt idx="24">
                  <c:v>0.61</c:v>
                </c:pt>
                <c:pt idx="25">
                  <c:v>0.62</c:v>
                </c:pt>
                <c:pt idx="26">
                  <c:v>0.68</c:v>
                </c:pt>
                <c:pt idx="27">
                  <c:v>0.74</c:v>
                </c:pt>
                <c:pt idx="28">
                  <c:v>0.74</c:v>
                </c:pt>
                <c:pt idx="29">
                  <c:v>0.75</c:v>
                </c:pt>
                <c:pt idx="30">
                  <c:v>0.97</c:v>
                </c:pt>
              </c:numCache>
            </c:numRef>
          </c:val>
          <c:extLst>
            <c:ext xmlns:c16="http://schemas.microsoft.com/office/drawing/2014/chart" uri="{C3380CC4-5D6E-409C-BE32-E72D297353CC}">
              <c16:uniqueId val="{00000000-A19D-4D11-966E-9EFDA20EF55E}"/>
            </c:ext>
          </c:extLst>
        </c:ser>
        <c:dLbls>
          <c:showLegendKey val="0"/>
          <c:showVal val="1"/>
          <c:showCatName val="0"/>
          <c:showSerName val="0"/>
          <c:showPercent val="0"/>
          <c:showBubbleSize val="0"/>
        </c:dLbls>
        <c:gapWidth val="444"/>
        <c:overlap val="-90"/>
        <c:axId val="126432512"/>
        <c:axId val="126437312"/>
      </c:barChart>
      <c:catAx>
        <c:axId val="126432512"/>
        <c:scaling>
          <c:orientation val="minMax"/>
        </c:scaling>
        <c:delete val="0"/>
        <c:axPos val="b"/>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ro-RO"/>
          </a:p>
        </c:txPr>
        <c:crossAx val="126437312"/>
        <c:crosses val="autoZero"/>
        <c:auto val="1"/>
        <c:lblAlgn val="ctr"/>
        <c:lblOffset val="100"/>
        <c:noMultiLvlLbl val="0"/>
      </c:catAx>
      <c:valAx>
        <c:axId val="126437312"/>
        <c:scaling>
          <c:orientation val="minMax"/>
        </c:scaling>
        <c:delete val="1"/>
        <c:axPos val="l"/>
        <c:numFmt formatCode="0%" sourceLinked="1"/>
        <c:majorTickMark val="none"/>
        <c:minorTickMark val="none"/>
        <c:tickLblPos val="nextTo"/>
        <c:crossAx val="12643251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endParaRPr lang="ro-R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'Figura 2.8'!$B$1</c:f>
              <c:strCache>
                <c:ptCount val="1"/>
                <c:pt idx="0">
                  <c:v>Inflatie</c:v>
                </c:pt>
              </c:strCache>
            </c:strRef>
          </c:tx>
          <c:invertIfNegative val="0"/>
          <c:cat>
            <c:numRef>
              <c:f>{2008,2009,2010,2011,2012,2013,2014,2015,2016,2017,2018,2019,2020,2021,2022,2023}</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'Figura 2.8'!$B$2:$B$17</c:f>
              <c:numCache>
                <c:formatCode>General</c:formatCode>
                <c:ptCount val="16"/>
                <c:pt idx="0">
                  <c:v>108</c:v>
                </c:pt>
                <c:pt idx="1">
                  <c:v>114</c:v>
                </c:pt>
                <c:pt idx="2">
                  <c:v>121</c:v>
                </c:pt>
                <c:pt idx="3">
                  <c:v>128</c:v>
                </c:pt>
                <c:pt idx="4">
                  <c:v>132</c:v>
                </c:pt>
                <c:pt idx="5">
                  <c:v>137</c:v>
                </c:pt>
                <c:pt idx="6">
                  <c:v>139</c:v>
                </c:pt>
                <c:pt idx="7">
                  <c:v>138</c:v>
                </c:pt>
                <c:pt idx="8">
                  <c:v>136</c:v>
                </c:pt>
                <c:pt idx="9">
                  <c:v>138</c:v>
                </c:pt>
                <c:pt idx="10">
                  <c:v>144</c:v>
                </c:pt>
                <c:pt idx="11">
                  <c:v>150</c:v>
                </c:pt>
                <c:pt idx="12">
                  <c:v>153</c:v>
                </c:pt>
                <c:pt idx="13">
                  <c:v>161</c:v>
                </c:pt>
                <c:pt idx="14">
                  <c:v>183</c:v>
                </c:pt>
                <c:pt idx="15">
                  <c:v>203</c:v>
                </c:pt>
              </c:numCache>
            </c:numRef>
          </c:val>
          <c:extLst>
            <c:ext xmlns:c16="http://schemas.microsoft.com/office/drawing/2014/chart" uri="{C3380CC4-5D6E-409C-BE32-E72D297353CC}">
              <c16:uniqueId val="{00000000-17ED-4493-A57D-F93C281BFE16}"/>
            </c:ext>
          </c:extLst>
        </c:ser>
        <c:ser>
          <c:idx val="2"/>
          <c:order val="1"/>
          <c:tx>
            <c:strRef>
              <c:f>'Figura 2.8'!$C$1</c:f>
              <c:strCache>
                <c:ptCount val="1"/>
                <c:pt idx="0">
                  <c:v>Randament Cumulat</c:v>
                </c:pt>
              </c:strCache>
            </c:strRef>
          </c:tx>
          <c:invertIfNegative val="0"/>
          <c:cat>
            <c:numRef>
              <c:f>{2008,2009,2010,2011,2012,2013,2014,2015,2016,2017,2018,2019,2020,2021,2022,2023}</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'Figura 2.8'!$C$2:$C$17</c:f>
              <c:numCache>
                <c:formatCode>General</c:formatCode>
                <c:ptCount val="16"/>
                <c:pt idx="0">
                  <c:v>107</c:v>
                </c:pt>
                <c:pt idx="1">
                  <c:v>126</c:v>
                </c:pt>
                <c:pt idx="2">
                  <c:v>145</c:v>
                </c:pt>
                <c:pt idx="3">
                  <c:v>149</c:v>
                </c:pt>
                <c:pt idx="4">
                  <c:v>165</c:v>
                </c:pt>
                <c:pt idx="5">
                  <c:v>184</c:v>
                </c:pt>
                <c:pt idx="6">
                  <c:v>201</c:v>
                </c:pt>
                <c:pt idx="7">
                  <c:v>208</c:v>
                </c:pt>
                <c:pt idx="8">
                  <c:v>216</c:v>
                </c:pt>
                <c:pt idx="9">
                  <c:v>225</c:v>
                </c:pt>
                <c:pt idx="10">
                  <c:v>227</c:v>
                </c:pt>
                <c:pt idx="11">
                  <c:v>254</c:v>
                </c:pt>
                <c:pt idx="12">
                  <c:v>270</c:v>
                </c:pt>
                <c:pt idx="13">
                  <c:v>286</c:v>
                </c:pt>
                <c:pt idx="14">
                  <c:v>275</c:v>
                </c:pt>
                <c:pt idx="15">
                  <c:v>324</c:v>
                </c:pt>
              </c:numCache>
            </c:numRef>
          </c:val>
          <c:extLst>
            <c:ext xmlns:c16="http://schemas.microsoft.com/office/drawing/2014/chart" uri="{C3380CC4-5D6E-409C-BE32-E72D297353CC}">
              <c16:uniqueId val="{00000001-17ED-4493-A57D-F93C281BFE16}"/>
            </c:ext>
          </c:extLst>
        </c:ser>
        <c:dLbls>
          <c:showLegendKey val="0"/>
          <c:showVal val="0"/>
          <c:showCatName val="0"/>
          <c:showSerName val="0"/>
          <c:showPercent val="0"/>
          <c:showBubbleSize val="0"/>
        </c:dLbls>
        <c:gapWidth val="150"/>
        <c:axId val="213813888"/>
        <c:axId val="213918080"/>
      </c:barChart>
      <c:catAx>
        <c:axId val="21381388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o-RO"/>
          </a:p>
        </c:txPr>
        <c:crossAx val="213918080"/>
        <c:crosses val="autoZero"/>
        <c:auto val="1"/>
        <c:lblAlgn val="ctr"/>
        <c:lblOffset val="100"/>
        <c:noMultiLvlLbl val="0"/>
      </c:catAx>
      <c:valAx>
        <c:axId val="213918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o-RO"/>
          </a:p>
        </c:txPr>
        <c:crossAx val="213813888"/>
        <c:crosses val="autoZero"/>
        <c:crossBetween val="between"/>
      </c:valAx>
      <c:dTable>
        <c:showHorzBorder val="1"/>
        <c:showVertBorder val="1"/>
        <c:showOutline val="1"/>
        <c:showKeys val="1"/>
        <c:txPr>
          <a:bodyPr rot="0" spcFirstLastPara="0" vertOverflow="ellipsis" vert="horz" wrap="square" anchor="ctr" anchorCtr="1"/>
          <a:lstStyle/>
          <a:p>
            <a:pPr rtl="0">
              <a:defRPr lang="en-US" sz="1000" b="0" i="0" u="none" strike="noStrike" kern="1200" baseline="0">
                <a:solidFill>
                  <a:schemeClr val="tx1"/>
                </a:solidFill>
                <a:latin typeface="+mn-lt"/>
                <a:ea typeface="+mn-ea"/>
                <a:cs typeface="+mn-cs"/>
              </a:defRPr>
            </a:pPr>
            <a:endParaRPr lang="ro-RO"/>
          </a:p>
        </c:txPr>
      </c:dTable>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o-RO"/>
        </a:p>
      </c:txPr>
    </c:legend>
    <c:plotVisOnly val="1"/>
    <c:dispBlanksAs val="gap"/>
    <c:showDLblsOverMax val="0"/>
  </c:chart>
  <c:txPr>
    <a:bodyPr/>
    <a:lstStyle/>
    <a:p>
      <a:pPr>
        <a:defRPr lang="en-US"/>
      </a:pPr>
      <a:endParaRPr lang="ro-RO"/>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'Figura 2.9'!$B$1</c:f>
              <c:strCache>
                <c:ptCount val="1"/>
                <c:pt idx="0">
                  <c:v>Inflatie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'Figura 2.9'!$A$2:$A$8</c:f>
              <c:strCache>
                <c:ptCount val="7"/>
                <c:pt idx="0">
                  <c:v>2016</c:v>
                </c:pt>
                <c:pt idx="1">
                  <c:v>2017</c:v>
                </c:pt>
                <c:pt idx="2">
                  <c:v>2018</c:v>
                </c:pt>
                <c:pt idx="3">
                  <c:v>2019</c:v>
                </c:pt>
                <c:pt idx="4">
                  <c:v>2020</c:v>
                </c:pt>
                <c:pt idx="5">
                  <c:v>2021</c:v>
                </c:pt>
                <c:pt idx="6">
                  <c:v>2022</c:v>
                </c:pt>
              </c:strCache>
            </c:strRef>
          </c:cat>
          <c:val>
            <c:numRef>
              <c:f>'Figura 2.9'!$B$2:$B$8</c:f>
              <c:numCache>
                <c:formatCode>General</c:formatCode>
                <c:ptCount val="7"/>
                <c:pt idx="0">
                  <c:v>49</c:v>
                </c:pt>
                <c:pt idx="1">
                  <c:v>47</c:v>
                </c:pt>
                <c:pt idx="2">
                  <c:v>41</c:v>
                </c:pt>
                <c:pt idx="3">
                  <c:v>35</c:v>
                </c:pt>
                <c:pt idx="4">
                  <c:v>32</c:v>
                </c:pt>
                <c:pt idx="5">
                  <c:v>26</c:v>
                </c:pt>
                <c:pt idx="6">
                  <c:v>10</c:v>
                </c:pt>
              </c:numCache>
            </c:numRef>
          </c:val>
          <c:extLst>
            <c:ext xmlns:c16="http://schemas.microsoft.com/office/drawing/2014/chart" uri="{C3380CC4-5D6E-409C-BE32-E72D297353CC}">
              <c16:uniqueId val="{00000000-4D35-472A-B880-7F29DDBC61DD}"/>
            </c:ext>
          </c:extLst>
        </c:ser>
        <c:ser>
          <c:idx val="1"/>
          <c:order val="1"/>
          <c:tx>
            <c:strRef>
              <c:f>'Figura 2.9'!$C$1</c:f>
              <c:strCache>
                <c:ptCount val="1"/>
                <c:pt idx="0">
                  <c:v>Randament Pilon II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'Figura 2.9'!$A$2:$A$8</c:f>
              <c:strCache>
                <c:ptCount val="7"/>
                <c:pt idx="0">
                  <c:v>2016</c:v>
                </c:pt>
                <c:pt idx="1">
                  <c:v>2017</c:v>
                </c:pt>
                <c:pt idx="2">
                  <c:v>2018</c:v>
                </c:pt>
                <c:pt idx="3">
                  <c:v>2019</c:v>
                </c:pt>
                <c:pt idx="4">
                  <c:v>2020</c:v>
                </c:pt>
                <c:pt idx="5">
                  <c:v>2021</c:v>
                </c:pt>
                <c:pt idx="6">
                  <c:v>2022</c:v>
                </c:pt>
              </c:strCache>
            </c:strRef>
          </c:cat>
          <c:val>
            <c:numRef>
              <c:f>'Figura 2.9'!$C$2:$C$8</c:f>
              <c:numCache>
                <c:formatCode>General</c:formatCode>
                <c:ptCount val="7"/>
                <c:pt idx="0">
                  <c:v>50</c:v>
                </c:pt>
                <c:pt idx="1">
                  <c:v>44</c:v>
                </c:pt>
                <c:pt idx="2">
                  <c:v>43</c:v>
                </c:pt>
                <c:pt idx="3">
                  <c:v>28</c:v>
                </c:pt>
                <c:pt idx="4">
                  <c:v>20</c:v>
                </c:pt>
                <c:pt idx="5">
                  <c:v>14</c:v>
                </c:pt>
                <c:pt idx="6">
                  <c:v>18</c:v>
                </c:pt>
              </c:numCache>
            </c:numRef>
          </c:val>
          <c:extLst>
            <c:ext xmlns:c16="http://schemas.microsoft.com/office/drawing/2014/chart" uri="{C3380CC4-5D6E-409C-BE32-E72D297353CC}">
              <c16:uniqueId val="{00000001-4D35-472A-B880-7F29DDBC61DD}"/>
            </c:ext>
          </c:extLst>
        </c:ser>
        <c:dLbls>
          <c:showLegendKey val="0"/>
          <c:showVal val="1"/>
          <c:showCatName val="0"/>
          <c:showSerName val="0"/>
          <c:showPercent val="0"/>
          <c:showBubbleSize val="0"/>
        </c:dLbls>
        <c:gapWidth val="75"/>
        <c:overlap val="-25"/>
        <c:axId val="156467968"/>
        <c:axId val="156469504"/>
      </c:barChart>
      <c:catAx>
        <c:axId val="15646796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o-RO"/>
          </a:p>
        </c:txPr>
        <c:crossAx val="156469504"/>
        <c:crosses val="autoZero"/>
        <c:auto val="1"/>
        <c:lblAlgn val="ctr"/>
        <c:lblOffset val="100"/>
        <c:noMultiLvlLbl val="0"/>
      </c:catAx>
      <c:valAx>
        <c:axId val="15646950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o-RO"/>
          </a:p>
        </c:txPr>
        <c:crossAx val="156467968"/>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o-RO"/>
        </a:p>
      </c:txPr>
    </c:legend>
    <c:plotVisOnly val="1"/>
    <c:dispBlanksAs val="gap"/>
    <c:showDLblsOverMax val="0"/>
  </c:chart>
  <c:txPr>
    <a:bodyPr/>
    <a:lstStyle/>
    <a:p>
      <a:pPr>
        <a:defRPr lang="en-US"/>
      </a:pPr>
      <a:endParaRPr lang="ro-RO"/>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Subvenții acordate pentru pensii</a:t>
            </a:r>
          </a:p>
        </c:rich>
      </c:tx>
      <c:overlay val="0"/>
    </c:title>
    <c:autoTitleDeleted val="0"/>
    <c:plotArea>
      <c:layout/>
      <c:barChart>
        <c:barDir val="col"/>
        <c:grouping val="clustered"/>
        <c:varyColors val="0"/>
        <c:ser>
          <c:idx val="0"/>
          <c:order val="0"/>
          <c:tx>
            <c:strRef>
              <c:f>'Subventii pensii 2018-2022'!$B$1</c:f>
              <c:strCache>
                <c:ptCount val="1"/>
                <c:pt idx="0">
                  <c:v>Total subvenții</c:v>
                </c:pt>
              </c:strCache>
            </c:strRef>
          </c:tx>
          <c:invertIfNegative val="0"/>
          <c:cat>
            <c:numRef>
              <c:f>'Subventii pensii 2018-2022'!$A$2:$A$6</c:f>
              <c:numCache>
                <c:formatCode>General</c:formatCode>
                <c:ptCount val="5"/>
                <c:pt idx="0">
                  <c:v>2018</c:v>
                </c:pt>
                <c:pt idx="1">
                  <c:v>2019</c:v>
                </c:pt>
                <c:pt idx="2">
                  <c:v>2020</c:v>
                </c:pt>
                <c:pt idx="3">
                  <c:v>2021</c:v>
                </c:pt>
                <c:pt idx="4">
                  <c:v>2022</c:v>
                </c:pt>
              </c:numCache>
            </c:numRef>
          </c:cat>
          <c:val>
            <c:numRef>
              <c:f>'Subventii pensii 2018-2022'!$B$2:$B$6</c:f>
              <c:numCache>
                <c:formatCode>General</c:formatCode>
                <c:ptCount val="5"/>
                <c:pt idx="0">
                  <c:v>12276</c:v>
                </c:pt>
                <c:pt idx="1">
                  <c:v>10419</c:v>
                </c:pt>
                <c:pt idx="2">
                  <c:v>22352</c:v>
                </c:pt>
                <c:pt idx="3">
                  <c:v>21386</c:v>
                </c:pt>
                <c:pt idx="4">
                  <c:v>23698</c:v>
                </c:pt>
              </c:numCache>
            </c:numRef>
          </c:val>
          <c:extLst>
            <c:ext xmlns:c16="http://schemas.microsoft.com/office/drawing/2014/chart" uri="{C3380CC4-5D6E-409C-BE32-E72D297353CC}">
              <c16:uniqueId val="{00000000-EEE8-44E9-B82A-E13C377AB4EA}"/>
            </c:ext>
          </c:extLst>
        </c:ser>
        <c:ser>
          <c:idx val="1"/>
          <c:order val="1"/>
          <c:tx>
            <c:strRef>
              <c:f>'Subventii pensii 2018-2022'!$C$1</c:f>
              <c:strCache>
                <c:ptCount val="1"/>
                <c:pt idx="0">
                  <c:v>Pensii contributive</c:v>
                </c:pt>
              </c:strCache>
            </c:strRef>
          </c:tx>
          <c:invertIfNegative val="0"/>
          <c:cat>
            <c:numRef>
              <c:f>'Subventii pensii 2018-2022'!$A$2:$A$6</c:f>
              <c:numCache>
                <c:formatCode>General</c:formatCode>
                <c:ptCount val="5"/>
                <c:pt idx="0">
                  <c:v>2018</c:v>
                </c:pt>
                <c:pt idx="1">
                  <c:v>2019</c:v>
                </c:pt>
                <c:pt idx="2">
                  <c:v>2020</c:v>
                </c:pt>
                <c:pt idx="3">
                  <c:v>2021</c:v>
                </c:pt>
                <c:pt idx="4">
                  <c:v>2022</c:v>
                </c:pt>
              </c:numCache>
            </c:numRef>
          </c:cat>
          <c:val>
            <c:numRef>
              <c:f>'Subventii pensii 2018-2022'!$C$2:$C$6</c:f>
              <c:numCache>
                <c:formatCode>General</c:formatCode>
                <c:ptCount val="5"/>
                <c:pt idx="0">
                  <c:v>3925</c:v>
                </c:pt>
                <c:pt idx="1">
                  <c:v>2116</c:v>
                </c:pt>
                <c:pt idx="2">
                  <c:v>13219</c:v>
                </c:pt>
                <c:pt idx="3">
                  <c:v>11172</c:v>
                </c:pt>
                <c:pt idx="4">
                  <c:v>11974</c:v>
                </c:pt>
              </c:numCache>
            </c:numRef>
          </c:val>
          <c:extLst>
            <c:ext xmlns:c16="http://schemas.microsoft.com/office/drawing/2014/chart" uri="{C3380CC4-5D6E-409C-BE32-E72D297353CC}">
              <c16:uniqueId val="{00000001-EEE8-44E9-B82A-E13C377AB4EA}"/>
            </c:ext>
          </c:extLst>
        </c:ser>
        <c:ser>
          <c:idx val="2"/>
          <c:order val="2"/>
          <c:tx>
            <c:strRef>
              <c:f>'Subventii pensii 2018-2022'!$D$1</c:f>
              <c:strCache>
                <c:ptCount val="1"/>
                <c:pt idx="0">
                  <c:v>Pensii speciale</c:v>
                </c:pt>
              </c:strCache>
            </c:strRef>
          </c:tx>
          <c:invertIfNegative val="0"/>
          <c:cat>
            <c:numRef>
              <c:f>'Subventii pensii 2018-2022'!$A$2:$A$6</c:f>
              <c:numCache>
                <c:formatCode>General</c:formatCode>
                <c:ptCount val="5"/>
                <c:pt idx="0">
                  <c:v>2018</c:v>
                </c:pt>
                <c:pt idx="1">
                  <c:v>2019</c:v>
                </c:pt>
                <c:pt idx="2">
                  <c:v>2020</c:v>
                </c:pt>
                <c:pt idx="3">
                  <c:v>2021</c:v>
                </c:pt>
                <c:pt idx="4">
                  <c:v>2022</c:v>
                </c:pt>
              </c:numCache>
            </c:numRef>
          </c:cat>
          <c:val>
            <c:numRef>
              <c:f>'Subventii pensii 2018-2022'!$D$2:$D$6</c:f>
              <c:numCache>
                <c:formatCode>General</c:formatCode>
                <c:ptCount val="5"/>
                <c:pt idx="0">
                  <c:v>8351</c:v>
                </c:pt>
                <c:pt idx="1">
                  <c:v>8303</c:v>
                </c:pt>
                <c:pt idx="2">
                  <c:v>9133</c:v>
                </c:pt>
                <c:pt idx="3">
                  <c:v>10214</c:v>
                </c:pt>
                <c:pt idx="4">
                  <c:v>11724</c:v>
                </c:pt>
              </c:numCache>
            </c:numRef>
          </c:val>
          <c:extLst>
            <c:ext xmlns:c16="http://schemas.microsoft.com/office/drawing/2014/chart" uri="{C3380CC4-5D6E-409C-BE32-E72D297353CC}">
              <c16:uniqueId val="{00000002-EEE8-44E9-B82A-E13C377AB4EA}"/>
            </c:ext>
          </c:extLst>
        </c:ser>
        <c:dLbls>
          <c:showLegendKey val="0"/>
          <c:showVal val="0"/>
          <c:showCatName val="0"/>
          <c:showSerName val="0"/>
          <c:showPercent val="0"/>
          <c:showBubbleSize val="0"/>
        </c:dLbls>
        <c:gapWidth val="150"/>
        <c:axId val="150726144"/>
        <c:axId val="150728064"/>
      </c:barChart>
      <c:catAx>
        <c:axId val="15072614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An</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o-RO"/>
          </a:p>
        </c:txPr>
        <c:crossAx val="150728064"/>
        <c:crosses val="autoZero"/>
        <c:auto val="1"/>
        <c:lblAlgn val="ctr"/>
        <c:lblOffset val="100"/>
        <c:noMultiLvlLbl val="0"/>
      </c:catAx>
      <c:valAx>
        <c:axId val="15072806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Mil. lei</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o-RO"/>
          </a:p>
        </c:txPr>
        <c:crossAx val="150726144"/>
        <c:crosses val="autoZero"/>
        <c:crossBetween val="between"/>
      </c:valAx>
      <c:dTable>
        <c:showHorzBorder val="1"/>
        <c:showVertBorder val="1"/>
        <c:showOutline val="1"/>
        <c:showKeys val="1"/>
        <c:txPr>
          <a:bodyPr rot="0" spcFirstLastPara="0" vertOverflow="ellipsis" vert="horz" wrap="square" anchor="ctr" anchorCtr="1"/>
          <a:lstStyle/>
          <a:p>
            <a:pPr rtl="0">
              <a:defRPr lang="en-US" sz="1000" b="0" i="0" u="none" strike="noStrike" kern="1200" baseline="0">
                <a:solidFill>
                  <a:schemeClr val="tx1"/>
                </a:solidFill>
                <a:latin typeface="+mn-lt"/>
                <a:ea typeface="+mn-ea"/>
                <a:cs typeface="+mn-cs"/>
              </a:defRPr>
            </a:pPr>
            <a:endParaRPr lang="ro-RO"/>
          </a:p>
        </c:txPr>
      </c:dTable>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o-RO"/>
        </a:p>
      </c:txPr>
    </c:legend>
    <c:plotVisOnly val="1"/>
    <c:dispBlanksAs val="gap"/>
    <c:showDLblsOverMax val="0"/>
  </c:chart>
  <c:txPr>
    <a:bodyPr/>
    <a:lstStyle/>
    <a:p>
      <a:pPr>
        <a:defRPr lang="en-US"/>
      </a:pPr>
      <a:endParaRPr lang="ro-RO"/>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Cotributiile angajatilor (%)</c:f>
              <c:strCache>
                <c:ptCount val="1"/>
                <c:pt idx="0">
                  <c:v>Cotributiile angajatilor (%)</c:v>
                </c:pt>
              </c:strCache>
            </c:strRef>
          </c:tx>
          <c:invertIfNegative val="0"/>
          <c:dLbls>
            <c:dLbl>
              <c:idx val="0"/>
              <c:tx>
                <c:rich>
                  <a:bodyPr/>
                  <a:lstStyle/>
                  <a:p>
                    <a:r>
                      <a:rPr lang="en-US"/>
                      <a:t>80%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502-416C-B19C-C6F9D5B09B00}"/>
                </c:ext>
              </c:extLst>
            </c:dLbl>
            <c:dLbl>
              <c:idx val="1"/>
              <c:tx>
                <c:rich>
                  <a:bodyPr/>
                  <a:lstStyle/>
                  <a:p>
                    <a:r>
                      <a:rPr lang="en-US"/>
                      <a:t>72%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502-416C-B19C-C6F9D5B09B00}"/>
                </c:ext>
              </c:extLst>
            </c:dLbl>
            <c:dLbl>
              <c:idx val="2"/>
              <c:tx>
                <c:rich>
                  <a:bodyPr/>
                  <a:lstStyle/>
                  <a:p>
                    <a:r>
                      <a:rPr lang="en-US"/>
                      <a:t>73%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502-416C-B19C-C6F9D5B09B00}"/>
                </c:ext>
              </c:extLst>
            </c:dLbl>
            <c:dLbl>
              <c:idx val="3"/>
              <c:tx>
                <c:rich>
                  <a:bodyPr/>
                  <a:lstStyle/>
                  <a:p>
                    <a:r>
                      <a:rPr lang="en-US"/>
                      <a:t>75%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502-416C-B19C-C6F9D5B09B00}"/>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o-R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'Structura buget 2024-2027'!$A$2:$A$5</c:f>
              <c:strCache>
                <c:ptCount val="4"/>
                <c:pt idx="0">
                  <c:v>Program 2024</c:v>
                </c:pt>
                <c:pt idx="1">
                  <c:v>Estimări 2025</c:v>
                </c:pt>
                <c:pt idx="2">
                  <c:v>Estimări 2026</c:v>
                </c:pt>
                <c:pt idx="3">
                  <c:v>Estimări 2027</c:v>
                </c:pt>
              </c:strCache>
            </c:strRef>
          </c:cat>
          <c:val>
            <c:numRef>
              <c:f>'Structura buget 2024-2027'!$B$2:$B$5</c:f>
              <c:numCache>
                <c:formatCode>General</c:formatCode>
                <c:ptCount val="4"/>
                <c:pt idx="0">
                  <c:v>80</c:v>
                </c:pt>
                <c:pt idx="1">
                  <c:v>72</c:v>
                </c:pt>
                <c:pt idx="2">
                  <c:v>73</c:v>
                </c:pt>
                <c:pt idx="3">
                  <c:v>75</c:v>
                </c:pt>
              </c:numCache>
            </c:numRef>
          </c:val>
          <c:extLst>
            <c:ext xmlns:c16="http://schemas.microsoft.com/office/drawing/2014/chart" uri="{C3380CC4-5D6E-409C-BE32-E72D297353CC}">
              <c16:uniqueId val="{00000004-0502-416C-B19C-C6F9D5B09B00}"/>
            </c:ext>
          </c:extLst>
        </c:ser>
        <c:ser>
          <c:idx val="1"/>
          <c:order val="1"/>
          <c:tx>
            <c:strRef>
              <c:f>Subventii de la bugetul de stat (%)</c:f>
              <c:strCache>
                <c:ptCount val="1"/>
                <c:pt idx="0">
                  <c:v>Subventii de la bugetul de stat (%)</c:v>
                </c:pt>
              </c:strCache>
            </c:strRef>
          </c:tx>
          <c:invertIfNegative val="0"/>
          <c:dLbls>
            <c:dLbl>
              <c:idx val="0"/>
              <c:tx>
                <c:rich>
                  <a:bodyPr/>
                  <a:lstStyle/>
                  <a:p>
                    <a:r>
                      <a:rPr lang="en-US"/>
                      <a:t>19%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502-416C-B19C-C6F9D5B09B00}"/>
                </c:ext>
              </c:extLst>
            </c:dLbl>
            <c:dLbl>
              <c:idx val="1"/>
              <c:tx>
                <c:rich>
                  <a:bodyPr/>
                  <a:lstStyle/>
                  <a:p>
                    <a:r>
                      <a:rPr lang="en-US"/>
                      <a:t>27%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502-416C-B19C-C6F9D5B09B00}"/>
                </c:ext>
              </c:extLst>
            </c:dLbl>
            <c:dLbl>
              <c:idx val="2"/>
              <c:tx>
                <c:rich>
                  <a:bodyPr/>
                  <a:lstStyle/>
                  <a:p>
                    <a:r>
                      <a:rPr lang="en-US"/>
                      <a:t>26%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502-416C-B19C-C6F9D5B09B00}"/>
                </c:ext>
              </c:extLst>
            </c:dLbl>
            <c:dLbl>
              <c:idx val="3"/>
              <c:tx>
                <c:rich>
                  <a:bodyPr/>
                  <a:lstStyle/>
                  <a:p>
                    <a:r>
                      <a:rPr lang="en-US"/>
                      <a:t>24%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502-416C-B19C-C6F9D5B09B00}"/>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ro-R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'Structura buget 2024-2027'!$A$2:$A$5</c:f>
              <c:strCache>
                <c:ptCount val="4"/>
                <c:pt idx="0">
                  <c:v>Program 2024</c:v>
                </c:pt>
                <c:pt idx="1">
                  <c:v>Estimări 2025</c:v>
                </c:pt>
                <c:pt idx="2">
                  <c:v>Estimări 2026</c:v>
                </c:pt>
                <c:pt idx="3">
                  <c:v>Estimări 2027</c:v>
                </c:pt>
              </c:strCache>
            </c:strRef>
          </c:cat>
          <c:val>
            <c:numRef>
              <c:f>'Structura buget 2024-2027'!$C$2:$C$5</c:f>
              <c:numCache>
                <c:formatCode>General</c:formatCode>
                <c:ptCount val="4"/>
                <c:pt idx="0">
                  <c:v>19</c:v>
                </c:pt>
                <c:pt idx="1">
                  <c:v>27</c:v>
                </c:pt>
                <c:pt idx="2">
                  <c:v>26</c:v>
                </c:pt>
                <c:pt idx="3">
                  <c:v>24</c:v>
                </c:pt>
              </c:numCache>
            </c:numRef>
          </c:val>
          <c:extLst>
            <c:ext xmlns:c16="http://schemas.microsoft.com/office/drawing/2014/chart" uri="{C3380CC4-5D6E-409C-BE32-E72D297353CC}">
              <c16:uniqueId val="{00000009-0502-416C-B19C-C6F9D5B09B00}"/>
            </c:ext>
          </c:extLst>
        </c:ser>
        <c:dLbls>
          <c:showLegendKey val="0"/>
          <c:showVal val="1"/>
          <c:showCatName val="0"/>
          <c:showSerName val="0"/>
          <c:showPercent val="0"/>
          <c:showBubbleSize val="0"/>
        </c:dLbls>
        <c:gapWidth val="75"/>
        <c:overlap val="100"/>
        <c:axId val="151295872"/>
        <c:axId val="151306240"/>
      </c:barChart>
      <c:catAx>
        <c:axId val="1512958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o-RO"/>
          </a:p>
        </c:txPr>
        <c:crossAx val="151306240"/>
        <c:crosses val="autoZero"/>
        <c:auto val="1"/>
        <c:lblAlgn val="ctr"/>
        <c:lblOffset val="100"/>
        <c:noMultiLvlLbl val="0"/>
      </c:catAx>
      <c:valAx>
        <c:axId val="151306240"/>
        <c:scaling>
          <c:orientation val="minMax"/>
        </c:scaling>
        <c:delete val="0"/>
        <c:axPos val="l"/>
        <c:numFmt formatCode="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o-RO"/>
          </a:p>
        </c:txPr>
        <c:crossAx val="151295872"/>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o-RO"/>
        </a:p>
      </c:txPr>
    </c:legend>
    <c:plotVisOnly val="1"/>
    <c:dispBlanksAs val="gap"/>
    <c:showDLblsOverMax val="0"/>
  </c:chart>
  <c:txPr>
    <a:bodyPr/>
    <a:lstStyle/>
    <a:p>
      <a:pPr>
        <a:defRPr lang="en-US"/>
      </a:pPr>
      <a:endParaRPr lang="ro-RO"/>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808BB-E678-44D3-BFF0-6D74A8E14734}">
  <ds:schemaRefs>
    <ds:schemaRef ds:uri="http://schemas.openxmlformats.org/officeDocument/2006/bibliography"/>
  </ds:schemaRefs>
</ds:datastoreItem>
</file>

<file path=customXml/itemProps2.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429C53-3111-4D3F-B05F-A8DAA3EB0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template_jXGEN_w1</Template>
  <TotalTime>41</TotalTime>
  <Pages>1</Pages>
  <Words>2115</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Horvat-Marc</dc:creator>
  <cp:lastModifiedBy>Dora Dora</cp:lastModifiedBy>
  <cp:revision>7</cp:revision>
  <cp:lastPrinted>2025-05-29T12:53:00Z</cp:lastPrinted>
  <dcterms:created xsi:type="dcterms:W3CDTF">2025-05-28T09:46:00Z</dcterms:created>
  <dcterms:modified xsi:type="dcterms:W3CDTF">2025-05-29T12:54:00Z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y fmtid="{D5CDD505-2E9C-101B-9397-08002B2CF9AE}" pid="10" name="KSOProductBuildVer">
    <vt:lpwstr>1033-12.2.0.13472</vt:lpwstr>
  </property>
  <property fmtid="{D5CDD505-2E9C-101B-9397-08002B2CF9AE}" pid="11" name="ICV">
    <vt:lpwstr>C8FFF2DB456D46C3869E807E05B5EB93_13</vt:lpwstr>
  </property>
</Properties>
</file>