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B865" w14:textId="79412588" w:rsidR="008C66E1" w:rsidRPr="008C66E1" w:rsidRDefault="008C66E1" w:rsidP="008C66E1">
      <w:pPr>
        <w:pStyle w:val="Heading1"/>
        <w:rPr>
          <w:noProof/>
          <w:lang w:val="ro-RO"/>
        </w:rPr>
      </w:pPr>
      <w:bookmarkStart w:id="0" w:name="_GoBack"/>
      <w:bookmarkEnd w:id="0"/>
      <w:permStart w:id="2051294822" w:edGrp="everyone"/>
      <w:permEnd w:id="2051294822"/>
      <w:r w:rsidRPr="008C66E1">
        <w:rPr>
          <w:noProof/>
          <w:lang w:val="ro-RO"/>
        </w:rPr>
        <w:t>SALARIUL MINIM ȘI TRAIUL MINIM DECENT</w:t>
      </w:r>
    </w:p>
    <w:p w14:paraId="065EE0FD" w14:textId="77777777" w:rsidR="008C66E1" w:rsidRPr="008C66E1" w:rsidRDefault="008C66E1" w:rsidP="008C66E1">
      <w:pPr>
        <w:rPr>
          <w:lang w:val="ro-RO"/>
        </w:rPr>
      </w:pPr>
    </w:p>
    <w:p w14:paraId="493AF683" w14:textId="77777777" w:rsidR="0045384A" w:rsidRPr="00901D18" w:rsidRDefault="0045384A" w:rsidP="00E4644F">
      <w:pPr>
        <w:rPr>
          <w:lang w:val="ro-RO"/>
        </w:rPr>
        <w:sectPr w:rsidR="0045384A" w:rsidRPr="00901D18" w:rsidSect="008C7AFF">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720" w:gutter="0"/>
          <w:cols w:space="720"/>
          <w:docGrid w:linePitch="360"/>
        </w:sectPr>
      </w:pP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14:paraId="5B5577D8" w14:textId="52A148B2" w:rsidR="0045384A" w:rsidRPr="00726F74" w:rsidRDefault="00726F74" w:rsidP="00FD62F6">
      <w:pPr>
        <w:ind w:firstLine="0"/>
        <w:rPr>
          <w:smallCaps/>
          <w:sz w:val="20"/>
          <w:szCs w:val="20"/>
          <w:lang w:val="ro-RO"/>
        </w:rPr>
      </w:pPr>
      <w:r w:rsidRPr="00726F74">
        <w:rPr>
          <w:smallCaps/>
          <w:sz w:val="20"/>
          <w:szCs w:val="20"/>
          <w:lang w:val="ro-RO"/>
        </w:rPr>
        <w:t>ANA-MARIA BORBEL (PRUNĂ)</w:t>
      </w:r>
    </w:p>
    <w:p w14:paraId="78E3831D" w14:textId="77777777" w:rsidR="00CA7C0A" w:rsidRPr="00726F74" w:rsidRDefault="00CA7C0A" w:rsidP="00D9537B">
      <w:pPr>
        <w:ind w:firstLine="0"/>
        <w:jc w:val="left"/>
        <w:rPr>
          <w:caps/>
          <w:sz w:val="20"/>
          <w:szCs w:val="20"/>
          <w:lang w:val="ro-RO"/>
        </w:rPr>
      </w:pPr>
      <w:r w:rsidRPr="00726F74">
        <w:rPr>
          <w:caps/>
          <w:sz w:val="20"/>
          <w:szCs w:val="20"/>
          <w:lang w:val="ro-RO"/>
        </w:rPr>
        <w:t>Universitatea Tehnică din Cluj-Napoca</w:t>
      </w:r>
    </w:p>
    <w:p w14:paraId="4B29F415" w14:textId="1E2FD2FF" w:rsidR="00CA7C0A" w:rsidRPr="00726F74" w:rsidRDefault="00D17B18" w:rsidP="00FD62F6">
      <w:pPr>
        <w:ind w:firstLine="0"/>
        <w:rPr>
          <w:sz w:val="20"/>
          <w:szCs w:val="20"/>
          <w:lang w:val="ro-RO"/>
        </w:rPr>
      </w:pPr>
      <w:r w:rsidRPr="00726F74">
        <w:rPr>
          <w:sz w:val="20"/>
          <w:szCs w:val="20"/>
          <w:lang w:val="ro-RO"/>
        </w:rPr>
        <w:t xml:space="preserve">Facultatea de </w:t>
      </w:r>
      <w:r w:rsidR="00726F74" w:rsidRPr="00726F74">
        <w:rPr>
          <w:sz w:val="20"/>
          <w:szCs w:val="20"/>
          <w:lang w:val="ro-RO"/>
        </w:rPr>
        <w:t>ȘTIINȚE</w:t>
      </w:r>
    </w:p>
    <w:p w14:paraId="1F7D8A6E" w14:textId="63A88CCB" w:rsidR="00726F74" w:rsidRPr="00726F74" w:rsidRDefault="00D17B18" w:rsidP="00FD62F6">
      <w:pPr>
        <w:ind w:firstLine="0"/>
        <w:rPr>
          <w:sz w:val="20"/>
          <w:szCs w:val="20"/>
          <w:lang w:val="ro-RO"/>
        </w:rPr>
      </w:pPr>
      <w:r w:rsidRPr="00726F74">
        <w:rPr>
          <w:sz w:val="20"/>
          <w:szCs w:val="20"/>
          <w:lang w:val="ro-RO"/>
        </w:rPr>
        <w:t>Specializarea</w:t>
      </w:r>
      <w:r w:rsidR="00FA3573" w:rsidRPr="00726F74">
        <w:rPr>
          <w:sz w:val="20"/>
          <w:szCs w:val="20"/>
          <w:lang w:val="ro-RO"/>
        </w:rPr>
        <w:t>:</w:t>
      </w:r>
      <w:r w:rsidR="00726F74" w:rsidRPr="00726F74">
        <w:rPr>
          <w:sz w:val="20"/>
          <w:szCs w:val="20"/>
          <w:lang w:val="ro-RO"/>
        </w:rPr>
        <w:t xml:space="preserve"> ECONOMIA FIRMEI</w:t>
      </w:r>
    </w:p>
    <w:p w14:paraId="5ABA2ECC" w14:textId="39163747" w:rsidR="00D9537B" w:rsidRPr="00726F74" w:rsidRDefault="00FD62F6" w:rsidP="00FD62F6">
      <w:pPr>
        <w:ind w:firstLine="0"/>
        <w:rPr>
          <w:sz w:val="20"/>
          <w:szCs w:val="20"/>
          <w:lang w:val="ro-RO"/>
        </w:rPr>
      </w:pPr>
      <w:r w:rsidRPr="00726F74">
        <w:rPr>
          <w:sz w:val="20"/>
          <w:szCs w:val="20"/>
          <w:lang w:val="ro-RO"/>
        </w:rPr>
        <w:t>Email:</w:t>
      </w:r>
      <w:r w:rsidR="00726F74" w:rsidRPr="00726F74">
        <w:rPr>
          <w:sz w:val="20"/>
          <w:szCs w:val="20"/>
          <w:lang w:val="ro-RO"/>
        </w:rPr>
        <w:t xml:space="preserve"> anamaria.pruna.2@gmail.com</w:t>
      </w:r>
    </w:p>
    <w:p w14:paraId="33A227F2" w14:textId="77777777" w:rsidR="00FA3573" w:rsidRPr="00726F74" w:rsidRDefault="00FA3573" w:rsidP="00FD62F6">
      <w:pPr>
        <w:ind w:firstLine="0"/>
        <w:rPr>
          <w:sz w:val="20"/>
          <w:szCs w:val="20"/>
          <w:lang w:val="ro-RO"/>
        </w:rPr>
      </w:pPr>
    </w:p>
    <w:p w14:paraId="6EE32E9A" w14:textId="0A143BCE" w:rsidR="00D9537B" w:rsidRPr="00726F74" w:rsidRDefault="00726F74" w:rsidP="00D9537B">
      <w:pPr>
        <w:ind w:firstLine="0"/>
        <w:rPr>
          <w:smallCaps/>
          <w:sz w:val="20"/>
          <w:szCs w:val="20"/>
          <w:lang w:val="ro-RO"/>
        </w:rPr>
      </w:pPr>
      <w:r w:rsidRPr="00726F74">
        <w:rPr>
          <w:smallCaps/>
          <w:sz w:val="20"/>
          <w:szCs w:val="20"/>
          <w:lang w:val="ro-RO"/>
        </w:rPr>
        <w:t>IOANA-LAVINIA PLEȘA (SAFTA)</w:t>
      </w:r>
    </w:p>
    <w:p w14:paraId="1C7FB2EC" w14:textId="77777777" w:rsidR="00D9537B" w:rsidRPr="00726F74" w:rsidRDefault="00D9537B" w:rsidP="00D9537B">
      <w:pPr>
        <w:ind w:firstLine="0"/>
        <w:jc w:val="left"/>
        <w:rPr>
          <w:caps/>
          <w:sz w:val="20"/>
          <w:szCs w:val="20"/>
          <w:lang w:val="ro-RO"/>
        </w:rPr>
      </w:pPr>
      <w:r w:rsidRPr="00726F74">
        <w:rPr>
          <w:caps/>
          <w:sz w:val="20"/>
          <w:szCs w:val="20"/>
          <w:lang w:val="ro-RO"/>
        </w:rPr>
        <w:t>Universitatea Tehnică din Cluj-Napoca</w:t>
      </w:r>
    </w:p>
    <w:p w14:paraId="69FFCDA4" w14:textId="60FCC29D" w:rsidR="00D9537B" w:rsidRPr="00726F74" w:rsidRDefault="00D9537B" w:rsidP="00D9537B">
      <w:pPr>
        <w:ind w:firstLine="0"/>
        <w:rPr>
          <w:sz w:val="20"/>
          <w:szCs w:val="20"/>
          <w:lang w:val="ro-RO"/>
        </w:rPr>
      </w:pPr>
      <w:r w:rsidRPr="00726F74">
        <w:rPr>
          <w:sz w:val="20"/>
          <w:szCs w:val="20"/>
          <w:lang w:val="ro-RO"/>
        </w:rPr>
        <w:t xml:space="preserve">Facultatea de </w:t>
      </w:r>
      <w:r w:rsidR="00726F74" w:rsidRPr="00726F74">
        <w:rPr>
          <w:sz w:val="20"/>
          <w:szCs w:val="20"/>
          <w:lang w:val="ro-RO"/>
        </w:rPr>
        <w:t>ȘTIINȚE</w:t>
      </w:r>
    </w:p>
    <w:p w14:paraId="1580F87A" w14:textId="6445BDD0" w:rsidR="00D9537B" w:rsidRPr="00726F74" w:rsidRDefault="00D9537B" w:rsidP="00D9537B">
      <w:pPr>
        <w:ind w:firstLine="0"/>
        <w:rPr>
          <w:sz w:val="20"/>
          <w:szCs w:val="20"/>
          <w:lang w:val="ro-RO"/>
        </w:rPr>
      </w:pPr>
      <w:r w:rsidRPr="00726F74">
        <w:rPr>
          <w:sz w:val="20"/>
          <w:szCs w:val="20"/>
          <w:lang w:val="ro-RO"/>
        </w:rPr>
        <w:t>Specializarea</w:t>
      </w:r>
      <w:r w:rsidR="00FA3573" w:rsidRPr="00726F74">
        <w:rPr>
          <w:sz w:val="20"/>
          <w:szCs w:val="20"/>
          <w:lang w:val="ro-RO"/>
        </w:rPr>
        <w:t>:</w:t>
      </w:r>
      <w:r w:rsidR="00726F74" w:rsidRPr="00726F74">
        <w:rPr>
          <w:sz w:val="20"/>
          <w:szCs w:val="20"/>
          <w:lang w:val="ro-RO"/>
        </w:rPr>
        <w:t xml:space="preserve"> ECONOMIA FIRMEI</w:t>
      </w:r>
    </w:p>
    <w:p w14:paraId="0FC92961" w14:textId="70EFC9EF" w:rsidR="00D17B18" w:rsidRPr="00726F74" w:rsidRDefault="00726F74" w:rsidP="00D9537B">
      <w:pPr>
        <w:ind w:firstLine="0"/>
        <w:rPr>
          <w:b/>
          <w:bCs/>
          <w:lang w:val="ro-RO"/>
        </w:rPr>
      </w:pPr>
      <w:r>
        <w:rPr>
          <w:sz w:val="20"/>
          <w:szCs w:val="20"/>
          <w:lang w:val="ro-RO"/>
        </w:rPr>
        <w:t xml:space="preserve">Email: </w:t>
      </w:r>
      <w:r w:rsidRPr="00726F74">
        <w:rPr>
          <w:lang w:val="ro-RO"/>
        </w:rPr>
        <w:t>lavinia_15@yahoo.com</w:t>
      </w:r>
      <w:r w:rsidR="00FD62F6" w:rsidRPr="00726F74">
        <w:rPr>
          <w:lang w:val="ro-RO"/>
        </w:rPr>
        <w:t xml:space="preserve"> </w:t>
      </w:r>
      <w:r w:rsidRPr="00726F74">
        <w:rPr>
          <w:lang w:val="ro-RO"/>
        </w:rPr>
        <w:t xml:space="preserve">  </w:t>
      </w:r>
      <w:r w:rsidR="00FD62F6" w:rsidRPr="00726F74">
        <w:rPr>
          <w:highlight w:val="yellow"/>
          <w:lang w:val="ro-RO"/>
        </w:rPr>
        <w:br w:type="column"/>
      </w:r>
      <w:r w:rsidR="00FD62F6" w:rsidRPr="00726F74">
        <w:rPr>
          <w:b/>
          <w:bCs/>
          <w:lang w:val="ro-RO"/>
        </w:rPr>
        <w:t>Abstract</w:t>
      </w:r>
    </w:p>
    <w:p w14:paraId="33452589" w14:textId="1047252F" w:rsidR="0018611C" w:rsidRPr="00901D18" w:rsidRDefault="00FC463A" w:rsidP="00CD04D9">
      <w:pPr>
        <w:ind w:firstLine="0"/>
        <w:rPr>
          <w:rStyle w:val="Emphasis"/>
          <w:lang w:val="ro-RO"/>
        </w:rPr>
      </w:pPr>
      <w:r w:rsidRPr="00726F74">
        <w:rPr>
          <w:rStyle w:val="Emphasis"/>
          <w:lang w:val="ro-RO"/>
        </w:rPr>
        <w:t>Studiul analizează evoluția salariului minim în România (2010-2025) și relația acestuia cu traiul minim decent în contextul european. Utilizând date oficiale de la INS și Eurostat, cercetarea demonstrează că salariul minim românesc acoperă doar 47,9% din coșul minim de consum pentru un trai decent (2024), situând România pe penultimul loc în UE. Politica salarială conservatoare post-2017 a generat pierderi în termeni reali, menținând raportul salariu minim/mediu la 41-45%. Pentru atingerea</w:t>
      </w:r>
      <w:r w:rsidRPr="00FC463A">
        <w:rPr>
          <w:rStyle w:val="Emphasis"/>
          <w:lang w:val="ro-RO"/>
        </w:rPr>
        <w:t xml:space="preserve"> unui trai decent până în 2035, este necesară o </w:t>
      </w:r>
      <w:r w:rsidRPr="00726F74">
        <w:rPr>
          <w:rStyle w:val="Emphasis"/>
          <w:lang w:val="ro-RO"/>
        </w:rPr>
        <w:t>creștere anuală de 10,1% a salariului minim, însoțită</w:t>
      </w:r>
      <w:r w:rsidRPr="00FC463A">
        <w:rPr>
          <w:rStyle w:val="Emphasis"/>
          <w:lang w:val="ro-RO"/>
        </w:rPr>
        <w:t xml:space="preserve"> de politici publice complementare în domenii-cheie</w:t>
      </w:r>
      <w:r w:rsidR="00CD04D9" w:rsidRPr="00901D18">
        <w:rPr>
          <w:rStyle w:val="Emphasis"/>
          <w:lang w:val="ro-RO"/>
        </w:rPr>
        <w:t>.</w:t>
      </w:r>
    </w:p>
    <w:p w14:paraId="7EBDD48E" w14:textId="67412B79" w:rsidR="00645718" w:rsidRPr="00901D18" w:rsidRDefault="00CE2B2F" w:rsidP="00FD62F6">
      <w:pPr>
        <w:ind w:firstLine="0"/>
        <w:rPr>
          <w:b/>
          <w:bCs/>
          <w:lang w:val="ro-RO"/>
        </w:rPr>
      </w:pPr>
      <w:r w:rsidRPr="00901D18">
        <w:rPr>
          <w:b/>
          <w:bCs/>
          <w:lang w:val="ro-RO"/>
        </w:rPr>
        <w:t>K</w:t>
      </w:r>
      <w:r w:rsidR="00EC6E85" w:rsidRPr="00901D18">
        <w:rPr>
          <w:b/>
          <w:bCs/>
          <w:lang w:val="ro-RO"/>
        </w:rPr>
        <w:t>eywords:</w:t>
      </w:r>
      <w:r w:rsidR="007A3A66" w:rsidRPr="00901D18">
        <w:rPr>
          <w:b/>
          <w:bCs/>
          <w:lang w:val="ro-RO"/>
        </w:rPr>
        <w:t xml:space="preserve"> </w:t>
      </w:r>
      <w:r w:rsidR="00FC463A">
        <w:rPr>
          <w:rStyle w:val="Emphasis"/>
          <w:lang w:val="ro-RO"/>
        </w:rPr>
        <w:t>salariu minim, nivelul de trai,coșul de cumpărături</w:t>
      </w:r>
    </w:p>
    <w:p w14:paraId="539038FB" w14:textId="77777777" w:rsidR="00EC6E85" w:rsidRPr="00901D18" w:rsidRDefault="00EC6E85" w:rsidP="00FD62F6">
      <w:pPr>
        <w:ind w:firstLine="0"/>
        <w:rPr>
          <w:b/>
          <w:bCs/>
          <w:lang w:val="ro-RO"/>
        </w:rPr>
      </w:pPr>
    </w:p>
    <w:p w14:paraId="5EE6D684" w14:textId="77777777" w:rsidR="00EC6E85" w:rsidRPr="00901D18" w:rsidRDefault="00EC6E85" w:rsidP="00FD62F6">
      <w:pPr>
        <w:ind w:firstLine="0"/>
        <w:rPr>
          <w:rStyle w:val="Emphasis"/>
          <w:lang w:val="ro-RO"/>
        </w:rPr>
        <w:sectPr w:rsidR="00EC6E85" w:rsidRPr="00901D18" w:rsidSect="008C7AFF">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18"/>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9960EAB"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66DFE3A6" w14:textId="77777777" w:rsidR="009D6A98" w:rsidRPr="00901D18" w:rsidRDefault="009D6A98" w:rsidP="009D6A98">
      <w:pPr>
        <w:pStyle w:val="Heading2"/>
        <w:rPr>
          <w:noProof/>
          <w:lang w:val="ro-RO"/>
        </w:rPr>
      </w:pPr>
      <w:bookmarkStart w:id="1" w:name="_Ref89192959"/>
      <w:r w:rsidRPr="00901D18">
        <w:rPr>
          <w:noProof/>
          <w:lang w:val="ro-RO"/>
        </w:rPr>
        <w:t>Introducere</w:t>
      </w:r>
      <w:bookmarkEnd w:id="1"/>
    </w:p>
    <w:p w14:paraId="1B97F33F" w14:textId="532E1B44" w:rsidR="00FC463A" w:rsidRPr="00FC463A" w:rsidRDefault="00FC463A" w:rsidP="00FC463A">
      <w:pPr>
        <w:ind w:firstLine="0"/>
        <w:rPr>
          <w:noProof/>
          <w:lang w:val="ro-RO"/>
        </w:rPr>
      </w:pPr>
      <w:r w:rsidRPr="00FC463A">
        <w:t xml:space="preserve"> </w:t>
      </w:r>
      <w:r w:rsidR="00603B9B">
        <w:tab/>
      </w:r>
      <w:r w:rsidRPr="00FC463A">
        <w:rPr>
          <w:noProof/>
          <w:lang w:val="ro-RO"/>
        </w:rPr>
        <w:t>Politica salariului minim din România a devenit un instrument fundamental de influențare a veniturilor și nivelului de trai al salariaților, în special după eliminarea contractului colectiv de muncă în 2010. Începând cu 2013, salariul minim garantat în plată a rămas singurul mecanism cu impact direct asupra nivelului general al salariilor, afectând peste un milion de salariați cu contracte individuale de muncă la nivelul minim. Această transformare a plasat politica salariului minim în centrul dezbaterilor economice și sociale, generând atât susținători care pledează pentru creșteri semnificative, cât și critici care avertizează asupra potențialelor efecte negative asupra inflației și stabilității economice. De-a lungul timpului, salariul minim s-a dovedit a avea cel mai mare impact asupra evoluției salariilor, cu un număr crescând de angajați fiind plătiți la nivelul minim de salarizare. Această tendință a generat preocupări cu privire la capacitatea salariului minim de a asigura un trai decent și de a reduce inegalitățile sociale în România</w:t>
      </w:r>
      <w:r w:rsidR="00603B9B">
        <w:rPr>
          <w:noProof/>
        </w:rPr>
        <w:t>[1]</w:t>
      </w:r>
      <w:r w:rsidRPr="00FC463A">
        <w:rPr>
          <w:noProof/>
          <w:lang w:val="ro-RO"/>
        </w:rPr>
        <w:t>.</w:t>
      </w:r>
    </w:p>
    <w:p w14:paraId="2F5B6CDD" w14:textId="756584DA" w:rsidR="00FC463A" w:rsidRPr="00FC463A" w:rsidRDefault="00FC463A" w:rsidP="00FC463A">
      <w:pPr>
        <w:rPr>
          <w:noProof/>
          <w:lang w:val="ro-RO"/>
        </w:rPr>
      </w:pPr>
      <w:r w:rsidRPr="00FC463A">
        <w:rPr>
          <w:noProof/>
          <w:lang w:val="ro-RO"/>
        </w:rPr>
        <w:t>Contextul european oferă o perspectivă valoroasă pentru evaluarea performanței României în domeniul politicilor salariale. Adoptarea Directivei Europene 2022/2041 cu privire la salariile minime adecvate în Uniunea Europeană a stabilit un cadru normativ care stipulează că salariul minim ar trebui să asigure un trai minim decent pentru lucrători</w:t>
      </w:r>
      <w:r w:rsidR="0007412B">
        <w:rPr>
          <w:noProof/>
          <w:lang w:val="ro-RO"/>
        </w:rPr>
        <w:t>[3]</w:t>
      </w:r>
      <w:r w:rsidRPr="00FC463A">
        <w:rPr>
          <w:noProof/>
          <w:lang w:val="ro-RO"/>
        </w:rPr>
        <w:t>. În perioada 2014-2019, România a înregistrat creșteri relativ excepționale ale salariului minim, cu o majorare de 87,7%, situându-se pe locul al doilea după Lituania în clasamentul european. Totuși, situația s-a schimbat dramatic după 2019, când țări precum Polonia au înregistrat creșteri de peste 87%, în timp ce România a adoptat o abordare mai conservatoare cu o creștere de doar 48,7%. Puterea de cumpărare a fost afectată în toată Europa de inflația ridicată din perioada 2021-2023, dar în România aceste efecte au persistat mai mult decât în alte state membre, evidențiind vulnerabilitățile politicii salariale naționale</w:t>
      </w:r>
      <w:r w:rsidR="00603B9B">
        <w:rPr>
          <w:noProof/>
          <w:lang w:val="ro-RO"/>
        </w:rPr>
        <w:t>[4]</w:t>
      </w:r>
      <w:r w:rsidRPr="00FC463A">
        <w:rPr>
          <w:noProof/>
          <w:lang w:val="ro-RO"/>
        </w:rPr>
        <w:t>.</w:t>
      </w:r>
    </w:p>
    <w:p w14:paraId="362D4AFF" w14:textId="3A352C18" w:rsidR="002019AE" w:rsidRPr="00901D18" w:rsidRDefault="00FC463A" w:rsidP="00FC463A">
      <w:pPr>
        <w:rPr>
          <w:noProof/>
          <w:lang w:val="ro-RO"/>
        </w:rPr>
      </w:pPr>
      <w:r w:rsidRPr="00FC463A">
        <w:rPr>
          <w:noProof/>
          <w:lang w:val="ro-RO"/>
        </w:rPr>
        <w:lastRenderedPageBreak/>
        <w:t>Conceptul de trai minim decent depășește simpla supraviețuire și include accesul la servicii esențiale precum sănătatea, educația, transportul și recreerea. Coșul minim de consum pentru un trai decent reprezintă suma de bani necesară unei familii pentru a acoperi toate nevoile de bază, asigurând o participare demnă în societate. Legea 174/2020 din România stipulează că salariul minim să fie legat de necesarul pentru un trai decent și oferă metoda de calcul a acestui necesar, făcând din structura coșului pentru un trai minim decent elementul principal de fundamentare a salariului de bază minim brut pe țară</w:t>
      </w:r>
      <w:r w:rsidR="00603B9B">
        <w:rPr>
          <w:noProof/>
          <w:lang w:val="ro-RO"/>
        </w:rPr>
        <w:t>[9]</w:t>
      </w:r>
      <w:r w:rsidRPr="00FC463A">
        <w:rPr>
          <w:noProof/>
          <w:lang w:val="ro-RO"/>
        </w:rPr>
        <w:t>. Analiza relației dintre salariul minim actual și coșul minim de consum relevă existența unei discrepanțe semnificative, cu implicații majore pentru bunăstarea socială și echitatea economică</w:t>
      </w:r>
      <w:r w:rsidR="0007412B">
        <w:rPr>
          <w:noProof/>
          <w:lang w:val="ro-RO"/>
        </w:rPr>
        <w:t>[16]</w:t>
      </w:r>
      <w:r w:rsidRPr="00FC463A">
        <w:rPr>
          <w:noProof/>
          <w:lang w:val="ro-RO"/>
        </w:rPr>
        <w:t>. Această discrepanță subliniază necesitatea unei evaluări comprehensive a eficacității politicilor salariale românești și a identificării soluțiilor pentru atingerea unui echilibru sustenabil între creșterea economică și justiția socială în contextul integrării europene</w:t>
      </w:r>
      <w:r w:rsidR="00603B9B">
        <w:rPr>
          <w:noProof/>
          <w:lang w:val="ro-RO"/>
        </w:rPr>
        <w:t>[17]</w:t>
      </w:r>
      <w:r w:rsidRPr="00FC463A">
        <w:rPr>
          <w:noProof/>
          <w:lang w:val="ro-RO"/>
        </w:rPr>
        <w:t>.</w:t>
      </w:r>
    </w:p>
    <w:p w14:paraId="02A2DD80" w14:textId="62CC71F6" w:rsidR="00E4644F" w:rsidRPr="00901D18" w:rsidRDefault="00FC463A" w:rsidP="00E4644F">
      <w:pPr>
        <w:pStyle w:val="Heading2"/>
        <w:rPr>
          <w:noProof/>
          <w:lang w:val="ro-RO"/>
        </w:rPr>
      </w:pPr>
      <w:r>
        <w:rPr>
          <w:noProof/>
          <w:lang w:val="ro-RO"/>
        </w:rPr>
        <w:t xml:space="preserve">Literatura de specialitate </w:t>
      </w:r>
    </w:p>
    <w:p w14:paraId="19D2B2CE" w14:textId="42D203B8" w:rsidR="007D03CA" w:rsidRPr="007D03CA" w:rsidRDefault="007D03CA" w:rsidP="007D03CA">
      <w:pPr>
        <w:rPr>
          <w:noProof/>
          <w:lang w:val="ro-RO"/>
        </w:rPr>
      </w:pPr>
      <w:r w:rsidRPr="007D03CA">
        <w:rPr>
          <w:noProof/>
          <w:lang w:val="ro-RO"/>
        </w:rPr>
        <w:t>Cadrul legal al salariului minim în România este reglementat prin Codul Muncii (art. 164), care stabilește că guvernul decide nivelul salariului minim în Consiliul Național Tripartit, după consultarea sindicatelor și patronatelor. Legea 367/2022 confirmă că această decizie rămâne prerogativa guvernului și nu poate fi negociată colectiv</w:t>
      </w:r>
      <w:r w:rsidR="0007412B">
        <w:rPr>
          <w:noProof/>
          <w:lang w:val="ro-RO"/>
        </w:rPr>
        <w:t>[7]</w:t>
      </w:r>
      <w:r w:rsidRPr="007D03CA">
        <w:rPr>
          <w:noProof/>
          <w:lang w:val="ro-RO"/>
        </w:rPr>
        <w:t>. Un moment important este Legea 174/2020, care leagă salariul minim de necesarul pentru un trai decent și oferă metoda de calcul a coșului minim de consum. Această abordare modernizează conceptul de salariu minim, trecând de la simpla supraviețuire la un trai decent</w:t>
      </w:r>
      <w:r w:rsidR="00603B9B">
        <w:rPr>
          <w:noProof/>
          <w:lang w:val="ro-RO"/>
        </w:rPr>
        <w:t>[10]</w:t>
      </w:r>
      <w:r w:rsidRPr="007D03CA">
        <w:rPr>
          <w:noProof/>
          <w:lang w:val="ro-RO"/>
        </w:rPr>
        <w:t>.</w:t>
      </w:r>
    </w:p>
    <w:p w14:paraId="43224BE6" w14:textId="77777777" w:rsidR="007D03CA" w:rsidRPr="007D03CA" w:rsidRDefault="007D03CA" w:rsidP="007D03CA">
      <w:pPr>
        <w:rPr>
          <w:noProof/>
          <w:lang w:val="ro-RO"/>
        </w:rPr>
      </w:pPr>
      <w:r w:rsidRPr="007D03CA">
        <w:rPr>
          <w:noProof/>
          <w:lang w:val="ro-RO"/>
        </w:rPr>
        <w:t>Contextul european este definit de Directiva UE 2022/2041, care stipulează că salariul minim trebuie să asigure un trai decent. Studiile Eurofound și datele Eurostat arată că România se află pe penultimul loc în UE la salariul minim, depășind doar Bulgaria. În perioada 2014-2019, România a avut creșteri mari (87,7%), fiind pe locul 2 după Lituania, dar după 2019 a devenit conservatoare cu doar 48,7% creștere, în timp ce Polonia a crescut cu peste 87%. Aceasta a dus la pierderea poziției relative a României în clasamentul european.</w:t>
      </w:r>
    </w:p>
    <w:p w14:paraId="15C67FD6" w14:textId="2546F160" w:rsidR="007D03CA" w:rsidRPr="007D03CA" w:rsidRDefault="007D03CA" w:rsidP="007D03CA">
      <w:pPr>
        <w:rPr>
          <w:noProof/>
          <w:lang w:val="ro-RO"/>
        </w:rPr>
      </w:pPr>
      <w:r w:rsidRPr="007D03CA">
        <w:rPr>
          <w:noProof/>
          <w:lang w:val="ro-RO"/>
        </w:rPr>
        <w:t>Inflația din 2021-2023 a afectat puternic puterea de cumpărare în toată Europa, dar în România efectele au persistat mai mult. Studiile Friedrich Ebert Stiftung și Syndex arată că cele mai mari creșteri reale ale salariului minim au fost în 2014-2017, iar după aceea au fost modeste. Datele Comisiei Naționale de Prognoză și Inspecției Muncii confirmă că politica salarială românească a devenit conservatoare după 2017, cu pierderi ușoare față de salariul mediu</w:t>
      </w:r>
      <w:r w:rsidR="0007412B">
        <w:rPr>
          <w:noProof/>
          <w:lang w:val="ro-RO"/>
        </w:rPr>
        <w:t>[14][12]</w:t>
      </w:r>
      <w:r w:rsidRPr="007D03CA">
        <w:rPr>
          <w:noProof/>
          <w:lang w:val="ro-RO"/>
        </w:rPr>
        <w:t>.</w:t>
      </w:r>
    </w:p>
    <w:p w14:paraId="27E1A637" w14:textId="20C109C9" w:rsidR="00FC3C21" w:rsidRPr="00901D18" w:rsidRDefault="007D03CA" w:rsidP="007D03CA">
      <w:pPr>
        <w:rPr>
          <w:noProof/>
          <w:lang w:val="ro-RO"/>
        </w:rPr>
      </w:pPr>
      <w:r w:rsidRPr="007D03CA">
        <w:rPr>
          <w:noProof/>
          <w:lang w:val="ro-RO"/>
        </w:rPr>
        <w:t>Conceptul de trai decent este definit de Friedrich Ebert Stiftung și Syndex ca suma necesară unei familii pentru toate nevoile de bază: hrană, locuință, îmbrăcăminte, sănătate, educație și transport. Cercetările lor arată că în România există o diferență mare între salariul minim și coșul minim de consum. Gradul de acoperire a crescut de la 35,2% în 2018 la 47,9% în 2024, dar rămâne mult sub necesarul pentru un trai decent. Această lacună afectează milioane de salariați și arată necesitatea reformării politicilor salariale</w:t>
      </w:r>
      <w:r w:rsidR="0007412B">
        <w:rPr>
          <w:noProof/>
          <w:lang w:val="ro-RO"/>
        </w:rPr>
        <w:t>[14][12]</w:t>
      </w:r>
      <w:r w:rsidR="0007412B" w:rsidRPr="007D03CA">
        <w:rPr>
          <w:noProof/>
          <w:lang w:val="ro-RO"/>
        </w:rPr>
        <w:t>.</w:t>
      </w:r>
    </w:p>
    <w:p w14:paraId="16B24348" w14:textId="09066BDF" w:rsidR="00B76744" w:rsidRPr="00901D18" w:rsidRDefault="007D03CA" w:rsidP="00541C69">
      <w:pPr>
        <w:pStyle w:val="Heading2"/>
        <w:rPr>
          <w:noProof/>
          <w:lang w:val="ro-RO"/>
        </w:rPr>
      </w:pPr>
      <w:r>
        <w:rPr>
          <w:noProof/>
          <w:lang w:val="ro-RO"/>
        </w:rPr>
        <w:t>Metodologia cercetarii</w:t>
      </w:r>
    </w:p>
    <w:p w14:paraId="553123A0" w14:textId="1321CAF9" w:rsidR="007D03CA" w:rsidRPr="007D03CA" w:rsidRDefault="007D03CA" w:rsidP="007D03CA">
      <w:pPr>
        <w:rPr>
          <w:lang w:val="ro-RO"/>
        </w:rPr>
      </w:pPr>
      <w:r w:rsidRPr="007D03CA">
        <w:rPr>
          <w:lang w:val="ro-RO"/>
        </w:rPr>
        <w:t>Acest studiu utilizează o analiză longitudinală bazată pe date oficiale din perioada 2010-2025, colectate de la Institutul Național de Statistică (INS), Comisia Națională de Prognoză (CNP), Eurostat, Eurofound, Inspecția Muncii, organizațiile Syndex și Friedrich Ebert Stiftung</w:t>
      </w:r>
      <w:r w:rsidR="00603B9B">
        <w:rPr>
          <w:lang w:val="ro-RO"/>
        </w:rPr>
        <w:t>[8][2]</w:t>
      </w:r>
      <w:r w:rsidRPr="007D03CA">
        <w:rPr>
          <w:lang w:val="ro-RO"/>
        </w:rPr>
        <w:t xml:space="preserve">. Metodologia se bazează pe analiza comparativă a evoluției salariului minim brut și net în România, calcularea puterii de cumpărare reale prin ajustarea cu rata inflației la sfârșitul fiecărei perioade anterioare, și determinarea raportului dintre salariul minim și salariul mediu pentru a evalua poziția relativă a lucrătorilor cu salarii minime. Pentru contextualizarea europeană, am utilizat datele Eurostat privind salariile minime din toate țările UE, calculând creșterile </w:t>
      </w:r>
      <w:r w:rsidRPr="007D03CA">
        <w:rPr>
          <w:lang w:val="ro-RO"/>
        </w:rPr>
        <w:lastRenderedPageBreak/>
        <w:t>procentuale pentru perioadele 2014-2019 și 2019-2024, precum și puterea de cumpărare ajustată cu diferențele de prețuri între țări.</w:t>
      </w:r>
    </w:p>
    <w:p w14:paraId="7ADEDB39" w14:textId="566AF05E" w:rsidR="00CE39D1" w:rsidRDefault="007D03CA" w:rsidP="007D03CA">
      <w:pPr>
        <w:rPr>
          <w:lang w:val="ro-RO"/>
        </w:rPr>
      </w:pPr>
      <w:r w:rsidRPr="007D03CA">
        <w:rPr>
          <w:lang w:val="ro-RO"/>
        </w:rPr>
        <w:t>A doua componentă metodologică se concentrează pe calculul coșului minim de consum pentru un trai decent, utilizând datele Friedrich Ebert Stiftung și Syndex pentru o familie standard de doi adulți și doi copii. Am calculat gradul de adecvare al salariului minim față de coșul de consum prin împărțirea valorii nete a salariului minim la jumătate din diferența dintre valoarea coșului și alocațiile pentru copii. Pentru simularea convergației către un trai decent până în 2035, am dezvoltat un model care presupune normalizarea inflației la 2,5% anual după 2025, indexarea alocațiilor cu inflația și calcularea unei creșteri medii anuale necesare de 10,1% pentru salariul minim</w:t>
      </w:r>
      <w:r w:rsidR="00603B9B">
        <w:rPr>
          <w:lang w:val="ro-RO"/>
        </w:rPr>
        <w:t>[11][6]</w:t>
      </w:r>
      <w:r w:rsidR="0007412B">
        <w:rPr>
          <w:lang w:val="ro-RO"/>
        </w:rPr>
        <w:t>[13]</w:t>
      </w:r>
      <w:r w:rsidRPr="007D03CA">
        <w:rPr>
          <w:lang w:val="ro-RO"/>
        </w:rPr>
        <w:t>. Toate calculele au fost efectuate în termeni nominali și reali, utilizând deflatorul implicit din datele CNP pentru a asigura comparabilitatea în timp a rezultatelor.</w:t>
      </w:r>
    </w:p>
    <w:p w14:paraId="36420782" w14:textId="77777777" w:rsidR="007D03CA" w:rsidRDefault="007D03CA" w:rsidP="007D03CA">
      <w:pPr>
        <w:rPr>
          <w:lang w:val="ro-RO"/>
        </w:rPr>
      </w:pPr>
    </w:p>
    <w:p w14:paraId="5312ED7F" w14:textId="1BA75C04" w:rsidR="007D03CA" w:rsidRDefault="007D03CA" w:rsidP="007D03CA">
      <w:pPr>
        <w:rPr>
          <w:lang w:val="ro-RO"/>
        </w:rPr>
      </w:pPr>
      <w:r>
        <w:rPr>
          <w:lang w:val="ro-RO"/>
        </w:rPr>
        <w:t xml:space="preserve">Rezultate </w:t>
      </w:r>
    </w:p>
    <w:p w14:paraId="0F6D96B6" w14:textId="77777777" w:rsidR="00603B9B" w:rsidRDefault="00603B9B" w:rsidP="007D03CA">
      <w:pPr>
        <w:rPr>
          <w:lang w:val="ro-RO"/>
        </w:rPr>
      </w:pPr>
    </w:p>
    <w:p w14:paraId="63E67BBA" w14:textId="77777777" w:rsidR="00022502" w:rsidRDefault="00022502" w:rsidP="00022502">
      <w:pPr>
        <w:rPr>
          <w:lang w:val="ro-RO"/>
        </w:rPr>
      </w:pPr>
      <w:r w:rsidRPr="00022502">
        <w:rPr>
          <w:lang w:val="ro-RO"/>
        </w:rPr>
        <w:t>Evoluția Salariului Minim în România (2010-2025)</w:t>
      </w:r>
    </w:p>
    <w:p w14:paraId="5A2AC891" w14:textId="77777777" w:rsidR="00603B9B" w:rsidRPr="00022502" w:rsidRDefault="00603B9B" w:rsidP="00022502">
      <w:pPr>
        <w:rPr>
          <w:lang w:val="ro-RO"/>
        </w:rPr>
      </w:pPr>
    </w:p>
    <w:p w14:paraId="1C25808A" w14:textId="7F74668E" w:rsidR="00022502" w:rsidRDefault="00022502" w:rsidP="00022502">
      <w:pPr>
        <w:rPr>
          <w:lang w:val="ro-RO"/>
        </w:rPr>
      </w:pPr>
      <w:r w:rsidRPr="00022502">
        <w:rPr>
          <w:lang w:val="ro-RO"/>
        </w:rPr>
        <w:t>Analiza datelor arată că salariul minim net în România a crescut de la 461 lei în 2010 la 2574 lei în 2025, reprezentând o creștere cumulată de 458,4%</w:t>
      </w:r>
      <w:r w:rsidR="00603B9B">
        <w:rPr>
          <w:lang w:val="ro-RO"/>
        </w:rPr>
        <w:t xml:space="preserve"> [</w:t>
      </w:r>
      <w:r w:rsidR="0007412B">
        <w:rPr>
          <w:lang w:val="ro-RO"/>
        </w:rPr>
        <w:t>15</w:t>
      </w:r>
      <w:r w:rsidR="00603B9B">
        <w:rPr>
          <w:lang w:val="ro-RO"/>
        </w:rPr>
        <w:t>]</w:t>
      </w:r>
      <w:r w:rsidRPr="00022502">
        <w:rPr>
          <w:lang w:val="ro-RO"/>
        </w:rPr>
        <w:t>. În termeni brut, salariul minim a evoluat de la 600 lei la 4050 lei în aceeași perioadă. Cele mai semnificative creșteri anuale au fost înregistrate în 2013 (13,4%), 2015 (17,2%), 2016 (17,8%) și 2023 (24,5%). Tabelul 1 evidențiază că cele mai dinamice perioade de creștere au coincis cu perioadele de inflație scăzută (2014-2017), când creșterile nominale s-au tradus în câștiguri reale substanțiale pentru salariați. În contrast, după 2017, creșterile au fost mai modeste, iar în perioadele de inflație ridicată (2022-2023), puterea de cumpărare a fost afectată semnificativ. Raportul dintre salariul minim și salariul mediu s-a menținut relativ stabil între 41% și 45%, demonstrând că politica salarială nu a avut ca obiectiv modificarea structurii distributive a veniturilor, ci mai degrabă menținerea unui echilibru relativ conservator.</w:t>
      </w:r>
    </w:p>
    <w:p w14:paraId="4A8A811A" w14:textId="3846A7C2" w:rsidR="00B006AA" w:rsidRDefault="00B006AA" w:rsidP="00022502">
      <w:pPr>
        <w:rPr>
          <w:lang w:val="ro-RO"/>
        </w:rPr>
      </w:pPr>
    </w:p>
    <w:p w14:paraId="1BA62A9D" w14:textId="0BA2EF53" w:rsidR="00B006AA" w:rsidRPr="00F11FC1" w:rsidRDefault="00B006AA" w:rsidP="00F11FC1">
      <w:pPr>
        <w:ind w:firstLine="0"/>
        <w:rPr>
          <w:rFonts w:ascii="Times New Roman" w:hAnsi="Times New Roman" w:cs="Times New Roman"/>
          <w:b/>
          <w:sz w:val="28"/>
          <w:szCs w:val="28"/>
          <w:lang w:val="ro-RO"/>
        </w:rPr>
      </w:pPr>
      <w:r w:rsidRPr="00F11FC1">
        <w:rPr>
          <w:lang w:val="ro-RO"/>
        </w:rPr>
        <w:t>Tabelul 1. Evoluția salariului minim și mediu, brut și net (2010-2025)</w:t>
      </w:r>
      <w:r w:rsidRPr="00F11FC1">
        <w:rPr>
          <w:rFonts w:ascii="Times New Roman" w:hAnsi="Times New Roman" w:cs="Times New Roman"/>
          <w:b/>
          <w:sz w:val="28"/>
          <w:szCs w:val="28"/>
          <w:lang w:val="ro-RO"/>
        </w:rPr>
        <w:t xml:space="preserve"> </w:t>
      </w:r>
    </w:p>
    <w:tbl>
      <w:tblPr>
        <w:tblW w:w="7700" w:type="dxa"/>
        <w:jc w:val="center"/>
        <w:tblLook w:val="04A0" w:firstRow="1" w:lastRow="0" w:firstColumn="1" w:lastColumn="0" w:noHBand="0" w:noVBand="1"/>
      </w:tblPr>
      <w:tblGrid>
        <w:gridCol w:w="705"/>
        <w:gridCol w:w="839"/>
        <w:gridCol w:w="883"/>
        <w:gridCol w:w="950"/>
        <w:gridCol w:w="1316"/>
        <w:gridCol w:w="883"/>
        <w:gridCol w:w="839"/>
        <w:gridCol w:w="839"/>
        <w:gridCol w:w="916"/>
        <w:gridCol w:w="222"/>
      </w:tblGrid>
      <w:tr w:rsidR="008938E8" w:rsidRPr="008938E8" w14:paraId="649A9CE3" w14:textId="77777777" w:rsidTr="008938E8">
        <w:trPr>
          <w:gridAfter w:val="1"/>
          <w:wAfter w:w="36" w:type="dxa"/>
          <w:trHeight w:val="1560"/>
          <w:jc w:val="center"/>
        </w:trPr>
        <w:tc>
          <w:tcPr>
            <w:tcW w:w="873" w:type="dxa"/>
            <w:vMerge w:val="restart"/>
            <w:tcBorders>
              <w:top w:val="single" w:sz="8" w:space="0" w:color="auto"/>
              <w:left w:val="single" w:sz="8" w:space="0" w:color="auto"/>
              <w:bottom w:val="nil"/>
              <w:right w:val="single" w:sz="8" w:space="0" w:color="auto"/>
            </w:tcBorders>
            <w:shd w:val="clear" w:color="auto" w:fill="auto"/>
            <w:vAlign w:val="center"/>
            <w:hideMark/>
          </w:tcPr>
          <w:p w14:paraId="4ECF9F6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An</w:t>
            </w:r>
          </w:p>
        </w:tc>
        <w:tc>
          <w:tcPr>
            <w:tcW w:w="723" w:type="dxa"/>
            <w:vMerge w:val="restart"/>
            <w:tcBorders>
              <w:top w:val="single" w:sz="8" w:space="0" w:color="auto"/>
              <w:left w:val="single" w:sz="8" w:space="0" w:color="auto"/>
              <w:bottom w:val="nil"/>
              <w:right w:val="single" w:sz="8" w:space="0" w:color="auto"/>
            </w:tcBorders>
            <w:shd w:val="clear" w:color="auto" w:fill="auto"/>
            <w:vAlign w:val="center"/>
            <w:hideMark/>
          </w:tcPr>
          <w:p w14:paraId="0E24322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Salariul minim</w:t>
            </w:r>
          </w:p>
        </w:tc>
        <w:tc>
          <w:tcPr>
            <w:tcW w:w="828" w:type="dxa"/>
            <w:vMerge w:val="restart"/>
            <w:tcBorders>
              <w:top w:val="single" w:sz="8" w:space="0" w:color="auto"/>
              <w:left w:val="single" w:sz="8" w:space="0" w:color="auto"/>
              <w:bottom w:val="nil"/>
              <w:right w:val="single" w:sz="8" w:space="0" w:color="auto"/>
            </w:tcBorders>
            <w:shd w:val="clear" w:color="auto" w:fill="auto"/>
            <w:vAlign w:val="center"/>
            <w:hideMark/>
          </w:tcPr>
          <w:p w14:paraId="1DA3D66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Creștere anuală</w:t>
            </w:r>
          </w:p>
        </w:tc>
        <w:tc>
          <w:tcPr>
            <w:tcW w:w="857" w:type="dxa"/>
            <w:vMerge w:val="restart"/>
            <w:tcBorders>
              <w:top w:val="single" w:sz="8" w:space="0" w:color="auto"/>
              <w:left w:val="single" w:sz="8" w:space="0" w:color="auto"/>
              <w:bottom w:val="nil"/>
              <w:right w:val="single" w:sz="8" w:space="0" w:color="auto"/>
            </w:tcBorders>
            <w:shd w:val="clear" w:color="auto" w:fill="auto"/>
            <w:vAlign w:val="center"/>
            <w:hideMark/>
          </w:tcPr>
          <w:p w14:paraId="31662DE0"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Creștere cumulată (vs 2010)</w:t>
            </w:r>
          </w:p>
        </w:tc>
        <w:tc>
          <w:tcPr>
            <w:tcW w:w="1130" w:type="dxa"/>
            <w:vMerge w:val="restart"/>
            <w:tcBorders>
              <w:top w:val="single" w:sz="8" w:space="0" w:color="auto"/>
              <w:left w:val="single" w:sz="8" w:space="0" w:color="auto"/>
              <w:bottom w:val="nil"/>
              <w:right w:val="single" w:sz="8" w:space="0" w:color="auto"/>
            </w:tcBorders>
            <w:shd w:val="clear" w:color="auto" w:fill="auto"/>
            <w:vAlign w:val="center"/>
            <w:hideMark/>
          </w:tcPr>
          <w:p w14:paraId="37FAC424"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Inflația la sfârșitul periodei anterioare(%)</w:t>
            </w:r>
          </w:p>
        </w:tc>
        <w:tc>
          <w:tcPr>
            <w:tcW w:w="748" w:type="dxa"/>
            <w:vMerge w:val="restart"/>
            <w:tcBorders>
              <w:top w:val="single" w:sz="8" w:space="0" w:color="auto"/>
              <w:left w:val="single" w:sz="8" w:space="0" w:color="auto"/>
              <w:bottom w:val="nil"/>
              <w:right w:val="single" w:sz="8" w:space="0" w:color="auto"/>
            </w:tcBorders>
            <w:shd w:val="clear" w:color="auto" w:fill="auto"/>
            <w:vAlign w:val="center"/>
            <w:hideMark/>
          </w:tcPr>
          <w:p w14:paraId="2A4363C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Creștere anuală reală</w:t>
            </w:r>
          </w:p>
        </w:tc>
        <w:tc>
          <w:tcPr>
            <w:tcW w:w="723" w:type="dxa"/>
            <w:vMerge w:val="restart"/>
            <w:tcBorders>
              <w:top w:val="single" w:sz="8" w:space="0" w:color="auto"/>
              <w:left w:val="single" w:sz="8" w:space="0" w:color="auto"/>
              <w:bottom w:val="nil"/>
              <w:right w:val="single" w:sz="8" w:space="0" w:color="auto"/>
            </w:tcBorders>
            <w:shd w:val="clear" w:color="auto" w:fill="auto"/>
            <w:vAlign w:val="center"/>
            <w:hideMark/>
          </w:tcPr>
          <w:p w14:paraId="7657CD2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Salariul minim brut</w:t>
            </w:r>
          </w:p>
        </w:tc>
        <w:tc>
          <w:tcPr>
            <w:tcW w:w="867" w:type="dxa"/>
            <w:vMerge w:val="restart"/>
            <w:tcBorders>
              <w:top w:val="single" w:sz="8" w:space="0" w:color="auto"/>
              <w:left w:val="single" w:sz="8" w:space="0" w:color="auto"/>
              <w:bottom w:val="nil"/>
              <w:right w:val="single" w:sz="8" w:space="0" w:color="auto"/>
            </w:tcBorders>
            <w:shd w:val="clear" w:color="auto" w:fill="auto"/>
            <w:vAlign w:val="center"/>
            <w:hideMark/>
          </w:tcPr>
          <w:p w14:paraId="2166B87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Salariul mediu brut</w:t>
            </w:r>
          </w:p>
        </w:tc>
        <w:tc>
          <w:tcPr>
            <w:tcW w:w="915" w:type="dxa"/>
            <w:vMerge w:val="restart"/>
            <w:tcBorders>
              <w:top w:val="single" w:sz="8" w:space="0" w:color="auto"/>
              <w:left w:val="single" w:sz="8" w:space="0" w:color="auto"/>
              <w:bottom w:val="nil"/>
              <w:right w:val="single" w:sz="8" w:space="0" w:color="auto"/>
            </w:tcBorders>
            <w:shd w:val="clear" w:color="auto" w:fill="auto"/>
            <w:vAlign w:val="center"/>
            <w:hideMark/>
          </w:tcPr>
          <w:p w14:paraId="7CBFC94D"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 xml:space="preserve">Salariul minimca % din salariul mediu </w:t>
            </w:r>
          </w:p>
        </w:tc>
      </w:tr>
      <w:tr w:rsidR="008938E8" w:rsidRPr="008938E8" w14:paraId="50A24BD9" w14:textId="77777777" w:rsidTr="008938E8">
        <w:trPr>
          <w:trHeight w:val="132"/>
          <w:jc w:val="center"/>
        </w:trPr>
        <w:tc>
          <w:tcPr>
            <w:tcW w:w="873" w:type="dxa"/>
            <w:vMerge/>
            <w:tcBorders>
              <w:top w:val="single" w:sz="8" w:space="0" w:color="auto"/>
              <w:left w:val="single" w:sz="8" w:space="0" w:color="auto"/>
              <w:bottom w:val="nil"/>
              <w:right w:val="single" w:sz="8" w:space="0" w:color="auto"/>
            </w:tcBorders>
            <w:vAlign w:val="center"/>
            <w:hideMark/>
          </w:tcPr>
          <w:p w14:paraId="1A818B8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p>
        </w:tc>
        <w:tc>
          <w:tcPr>
            <w:tcW w:w="723" w:type="dxa"/>
            <w:vMerge/>
            <w:tcBorders>
              <w:top w:val="single" w:sz="8" w:space="0" w:color="auto"/>
              <w:left w:val="single" w:sz="8" w:space="0" w:color="auto"/>
              <w:bottom w:val="nil"/>
              <w:right w:val="single" w:sz="8" w:space="0" w:color="auto"/>
            </w:tcBorders>
            <w:vAlign w:val="center"/>
            <w:hideMark/>
          </w:tcPr>
          <w:p w14:paraId="76D1A1E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p>
        </w:tc>
        <w:tc>
          <w:tcPr>
            <w:tcW w:w="828" w:type="dxa"/>
            <w:vMerge/>
            <w:tcBorders>
              <w:top w:val="single" w:sz="8" w:space="0" w:color="auto"/>
              <w:left w:val="single" w:sz="8" w:space="0" w:color="auto"/>
              <w:bottom w:val="nil"/>
              <w:right w:val="single" w:sz="8" w:space="0" w:color="auto"/>
            </w:tcBorders>
            <w:vAlign w:val="center"/>
            <w:hideMark/>
          </w:tcPr>
          <w:p w14:paraId="633E585D"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p>
        </w:tc>
        <w:tc>
          <w:tcPr>
            <w:tcW w:w="857" w:type="dxa"/>
            <w:vMerge/>
            <w:tcBorders>
              <w:top w:val="single" w:sz="8" w:space="0" w:color="auto"/>
              <w:left w:val="single" w:sz="8" w:space="0" w:color="auto"/>
              <w:bottom w:val="nil"/>
              <w:right w:val="single" w:sz="8" w:space="0" w:color="auto"/>
            </w:tcBorders>
            <w:vAlign w:val="center"/>
            <w:hideMark/>
          </w:tcPr>
          <w:p w14:paraId="69D0E27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p>
        </w:tc>
        <w:tc>
          <w:tcPr>
            <w:tcW w:w="1130" w:type="dxa"/>
            <w:vMerge/>
            <w:tcBorders>
              <w:top w:val="single" w:sz="8" w:space="0" w:color="auto"/>
              <w:left w:val="single" w:sz="8" w:space="0" w:color="auto"/>
              <w:bottom w:val="nil"/>
              <w:right w:val="single" w:sz="8" w:space="0" w:color="auto"/>
            </w:tcBorders>
            <w:vAlign w:val="center"/>
            <w:hideMark/>
          </w:tcPr>
          <w:p w14:paraId="0D8BF028"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p>
        </w:tc>
        <w:tc>
          <w:tcPr>
            <w:tcW w:w="748" w:type="dxa"/>
            <w:vMerge/>
            <w:tcBorders>
              <w:top w:val="single" w:sz="8" w:space="0" w:color="auto"/>
              <w:left w:val="single" w:sz="8" w:space="0" w:color="auto"/>
              <w:bottom w:val="nil"/>
              <w:right w:val="single" w:sz="8" w:space="0" w:color="auto"/>
            </w:tcBorders>
            <w:vAlign w:val="center"/>
            <w:hideMark/>
          </w:tcPr>
          <w:p w14:paraId="4C88DF9C"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p>
        </w:tc>
        <w:tc>
          <w:tcPr>
            <w:tcW w:w="723" w:type="dxa"/>
            <w:vMerge/>
            <w:tcBorders>
              <w:top w:val="single" w:sz="8" w:space="0" w:color="auto"/>
              <w:left w:val="single" w:sz="8" w:space="0" w:color="auto"/>
              <w:bottom w:val="nil"/>
              <w:right w:val="single" w:sz="8" w:space="0" w:color="auto"/>
            </w:tcBorders>
            <w:vAlign w:val="center"/>
            <w:hideMark/>
          </w:tcPr>
          <w:p w14:paraId="39F73C8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p>
        </w:tc>
        <w:tc>
          <w:tcPr>
            <w:tcW w:w="867" w:type="dxa"/>
            <w:vMerge/>
            <w:tcBorders>
              <w:top w:val="single" w:sz="8" w:space="0" w:color="auto"/>
              <w:left w:val="single" w:sz="8" w:space="0" w:color="auto"/>
              <w:bottom w:val="nil"/>
              <w:right w:val="single" w:sz="8" w:space="0" w:color="auto"/>
            </w:tcBorders>
            <w:vAlign w:val="center"/>
            <w:hideMark/>
          </w:tcPr>
          <w:p w14:paraId="5CDA3DF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p>
        </w:tc>
        <w:tc>
          <w:tcPr>
            <w:tcW w:w="915" w:type="dxa"/>
            <w:vMerge/>
            <w:tcBorders>
              <w:top w:val="single" w:sz="8" w:space="0" w:color="auto"/>
              <w:left w:val="single" w:sz="8" w:space="0" w:color="auto"/>
              <w:bottom w:val="nil"/>
              <w:right w:val="single" w:sz="8" w:space="0" w:color="auto"/>
            </w:tcBorders>
            <w:vAlign w:val="center"/>
            <w:hideMark/>
          </w:tcPr>
          <w:p w14:paraId="3B872F27"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p>
        </w:tc>
        <w:tc>
          <w:tcPr>
            <w:tcW w:w="36" w:type="dxa"/>
            <w:tcBorders>
              <w:top w:val="nil"/>
              <w:left w:val="nil"/>
              <w:bottom w:val="nil"/>
              <w:right w:val="nil"/>
            </w:tcBorders>
            <w:shd w:val="clear" w:color="auto" w:fill="auto"/>
            <w:noWrap/>
            <w:vAlign w:val="bottom"/>
            <w:hideMark/>
          </w:tcPr>
          <w:p w14:paraId="4C28B486"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p>
        </w:tc>
      </w:tr>
      <w:tr w:rsidR="008938E8" w:rsidRPr="008938E8" w14:paraId="1981419D"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7D44B57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2010</w:t>
            </w:r>
          </w:p>
        </w:tc>
        <w:tc>
          <w:tcPr>
            <w:tcW w:w="723" w:type="dxa"/>
            <w:tcBorders>
              <w:top w:val="nil"/>
              <w:left w:val="nil"/>
              <w:bottom w:val="single" w:sz="8" w:space="0" w:color="auto"/>
              <w:right w:val="single" w:sz="8" w:space="0" w:color="auto"/>
            </w:tcBorders>
            <w:shd w:val="clear" w:color="auto" w:fill="auto"/>
            <w:vAlign w:val="center"/>
            <w:hideMark/>
          </w:tcPr>
          <w:p w14:paraId="4FF3B808"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461</w:t>
            </w:r>
          </w:p>
        </w:tc>
        <w:tc>
          <w:tcPr>
            <w:tcW w:w="828" w:type="dxa"/>
            <w:tcBorders>
              <w:top w:val="nil"/>
              <w:left w:val="nil"/>
              <w:bottom w:val="single" w:sz="8" w:space="0" w:color="auto"/>
              <w:right w:val="single" w:sz="8" w:space="0" w:color="auto"/>
            </w:tcBorders>
            <w:shd w:val="clear" w:color="auto" w:fill="auto"/>
            <w:vAlign w:val="center"/>
            <w:hideMark/>
          </w:tcPr>
          <w:p w14:paraId="53E7DE27"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 </w:t>
            </w:r>
          </w:p>
        </w:tc>
        <w:tc>
          <w:tcPr>
            <w:tcW w:w="857" w:type="dxa"/>
            <w:tcBorders>
              <w:top w:val="nil"/>
              <w:left w:val="nil"/>
              <w:bottom w:val="single" w:sz="8" w:space="0" w:color="auto"/>
              <w:right w:val="single" w:sz="8" w:space="0" w:color="auto"/>
            </w:tcBorders>
            <w:shd w:val="clear" w:color="auto" w:fill="auto"/>
            <w:vAlign w:val="center"/>
            <w:hideMark/>
          </w:tcPr>
          <w:p w14:paraId="01425072"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 </w:t>
            </w:r>
          </w:p>
        </w:tc>
        <w:tc>
          <w:tcPr>
            <w:tcW w:w="1130" w:type="dxa"/>
            <w:tcBorders>
              <w:top w:val="nil"/>
              <w:left w:val="nil"/>
              <w:bottom w:val="single" w:sz="8" w:space="0" w:color="auto"/>
              <w:right w:val="single" w:sz="8" w:space="0" w:color="auto"/>
            </w:tcBorders>
            <w:shd w:val="clear" w:color="auto" w:fill="auto"/>
            <w:vAlign w:val="center"/>
            <w:hideMark/>
          </w:tcPr>
          <w:p w14:paraId="6814C375"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 </w:t>
            </w:r>
          </w:p>
        </w:tc>
        <w:tc>
          <w:tcPr>
            <w:tcW w:w="748" w:type="dxa"/>
            <w:tcBorders>
              <w:top w:val="nil"/>
              <w:left w:val="nil"/>
              <w:bottom w:val="single" w:sz="8" w:space="0" w:color="auto"/>
              <w:right w:val="single" w:sz="8" w:space="0" w:color="auto"/>
            </w:tcBorders>
            <w:shd w:val="clear" w:color="auto" w:fill="auto"/>
            <w:vAlign w:val="center"/>
            <w:hideMark/>
          </w:tcPr>
          <w:p w14:paraId="7F9B597C"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 </w:t>
            </w:r>
          </w:p>
        </w:tc>
        <w:tc>
          <w:tcPr>
            <w:tcW w:w="723" w:type="dxa"/>
            <w:tcBorders>
              <w:top w:val="nil"/>
              <w:left w:val="nil"/>
              <w:bottom w:val="single" w:sz="8" w:space="0" w:color="auto"/>
              <w:right w:val="single" w:sz="8" w:space="0" w:color="auto"/>
            </w:tcBorders>
            <w:shd w:val="clear" w:color="auto" w:fill="auto"/>
            <w:vAlign w:val="center"/>
            <w:hideMark/>
          </w:tcPr>
          <w:p w14:paraId="05C4EAA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600</w:t>
            </w:r>
          </w:p>
        </w:tc>
        <w:tc>
          <w:tcPr>
            <w:tcW w:w="867" w:type="dxa"/>
            <w:tcBorders>
              <w:top w:val="nil"/>
              <w:left w:val="nil"/>
              <w:bottom w:val="single" w:sz="8" w:space="0" w:color="auto"/>
              <w:right w:val="single" w:sz="8" w:space="0" w:color="auto"/>
            </w:tcBorders>
            <w:shd w:val="clear" w:color="auto" w:fill="auto"/>
            <w:vAlign w:val="center"/>
            <w:hideMark/>
          </w:tcPr>
          <w:p w14:paraId="6E69CA46"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1902</w:t>
            </w:r>
          </w:p>
        </w:tc>
        <w:tc>
          <w:tcPr>
            <w:tcW w:w="915" w:type="dxa"/>
            <w:tcBorders>
              <w:top w:val="nil"/>
              <w:left w:val="nil"/>
              <w:bottom w:val="single" w:sz="8" w:space="0" w:color="auto"/>
              <w:right w:val="single" w:sz="8" w:space="0" w:color="auto"/>
            </w:tcBorders>
            <w:shd w:val="clear" w:color="auto" w:fill="auto"/>
            <w:vAlign w:val="center"/>
            <w:hideMark/>
          </w:tcPr>
          <w:p w14:paraId="6B81CA9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31,5%</w:t>
            </w:r>
          </w:p>
        </w:tc>
        <w:tc>
          <w:tcPr>
            <w:tcW w:w="36" w:type="dxa"/>
            <w:vAlign w:val="center"/>
            <w:hideMark/>
          </w:tcPr>
          <w:p w14:paraId="6D456003"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52A3633A"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0EBED484"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2011</w:t>
            </w:r>
          </w:p>
        </w:tc>
        <w:tc>
          <w:tcPr>
            <w:tcW w:w="723" w:type="dxa"/>
            <w:tcBorders>
              <w:top w:val="nil"/>
              <w:left w:val="nil"/>
              <w:bottom w:val="single" w:sz="8" w:space="0" w:color="auto"/>
              <w:right w:val="single" w:sz="8" w:space="0" w:color="auto"/>
            </w:tcBorders>
            <w:shd w:val="clear" w:color="auto" w:fill="auto"/>
            <w:vAlign w:val="center"/>
            <w:hideMark/>
          </w:tcPr>
          <w:p w14:paraId="49EB936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510</w:t>
            </w:r>
          </w:p>
        </w:tc>
        <w:tc>
          <w:tcPr>
            <w:tcW w:w="828" w:type="dxa"/>
            <w:tcBorders>
              <w:top w:val="nil"/>
              <w:left w:val="nil"/>
              <w:bottom w:val="single" w:sz="8" w:space="0" w:color="auto"/>
              <w:right w:val="single" w:sz="8" w:space="0" w:color="auto"/>
            </w:tcBorders>
            <w:shd w:val="clear" w:color="auto" w:fill="auto"/>
            <w:vAlign w:val="center"/>
            <w:hideMark/>
          </w:tcPr>
          <w:p w14:paraId="6D83EE1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10,6%</w:t>
            </w:r>
          </w:p>
        </w:tc>
        <w:tc>
          <w:tcPr>
            <w:tcW w:w="857" w:type="dxa"/>
            <w:tcBorders>
              <w:top w:val="nil"/>
              <w:left w:val="nil"/>
              <w:bottom w:val="single" w:sz="8" w:space="0" w:color="auto"/>
              <w:right w:val="single" w:sz="8" w:space="0" w:color="auto"/>
            </w:tcBorders>
            <w:shd w:val="clear" w:color="auto" w:fill="auto"/>
            <w:vAlign w:val="center"/>
            <w:hideMark/>
          </w:tcPr>
          <w:p w14:paraId="7952410B"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10,6%</w:t>
            </w:r>
          </w:p>
        </w:tc>
        <w:tc>
          <w:tcPr>
            <w:tcW w:w="1130" w:type="dxa"/>
            <w:tcBorders>
              <w:top w:val="nil"/>
              <w:left w:val="nil"/>
              <w:bottom w:val="single" w:sz="8" w:space="0" w:color="auto"/>
              <w:right w:val="single" w:sz="8" w:space="0" w:color="auto"/>
            </w:tcBorders>
            <w:shd w:val="clear" w:color="auto" w:fill="auto"/>
            <w:vAlign w:val="center"/>
            <w:hideMark/>
          </w:tcPr>
          <w:p w14:paraId="63964EE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8</w:t>
            </w:r>
          </w:p>
        </w:tc>
        <w:tc>
          <w:tcPr>
            <w:tcW w:w="748" w:type="dxa"/>
            <w:tcBorders>
              <w:top w:val="nil"/>
              <w:left w:val="nil"/>
              <w:bottom w:val="single" w:sz="8" w:space="0" w:color="auto"/>
              <w:right w:val="single" w:sz="8" w:space="0" w:color="auto"/>
            </w:tcBorders>
            <w:shd w:val="clear" w:color="auto" w:fill="auto"/>
            <w:vAlign w:val="center"/>
            <w:hideMark/>
          </w:tcPr>
          <w:p w14:paraId="185D391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1,8%</w:t>
            </w:r>
          </w:p>
        </w:tc>
        <w:tc>
          <w:tcPr>
            <w:tcW w:w="723" w:type="dxa"/>
            <w:tcBorders>
              <w:top w:val="nil"/>
              <w:left w:val="nil"/>
              <w:bottom w:val="single" w:sz="8" w:space="0" w:color="auto"/>
              <w:right w:val="single" w:sz="8" w:space="0" w:color="auto"/>
            </w:tcBorders>
            <w:shd w:val="clear" w:color="auto" w:fill="auto"/>
            <w:vAlign w:val="center"/>
            <w:hideMark/>
          </w:tcPr>
          <w:p w14:paraId="4B645DBB"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670</w:t>
            </w:r>
          </w:p>
        </w:tc>
        <w:tc>
          <w:tcPr>
            <w:tcW w:w="867" w:type="dxa"/>
            <w:tcBorders>
              <w:top w:val="nil"/>
              <w:left w:val="nil"/>
              <w:bottom w:val="single" w:sz="8" w:space="0" w:color="auto"/>
              <w:right w:val="single" w:sz="8" w:space="0" w:color="auto"/>
            </w:tcBorders>
            <w:shd w:val="clear" w:color="auto" w:fill="auto"/>
            <w:vAlign w:val="center"/>
            <w:hideMark/>
          </w:tcPr>
          <w:p w14:paraId="646CAD1E"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1980</w:t>
            </w:r>
          </w:p>
        </w:tc>
        <w:tc>
          <w:tcPr>
            <w:tcW w:w="915" w:type="dxa"/>
            <w:tcBorders>
              <w:top w:val="nil"/>
              <w:left w:val="nil"/>
              <w:bottom w:val="single" w:sz="8" w:space="0" w:color="auto"/>
              <w:right w:val="single" w:sz="8" w:space="0" w:color="auto"/>
            </w:tcBorders>
            <w:shd w:val="clear" w:color="auto" w:fill="auto"/>
            <w:vAlign w:val="center"/>
            <w:hideMark/>
          </w:tcPr>
          <w:p w14:paraId="383A3E1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33,8%</w:t>
            </w:r>
          </w:p>
        </w:tc>
        <w:tc>
          <w:tcPr>
            <w:tcW w:w="36" w:type="dxa"/>
            <w:vAlign w:val="center"/>
            <w:hideMark/>
          </w:tcPr>
          <w:p w14:paraId="2D6D3BFF"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5823AD5F"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61228DB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2012</w:t>
            </w:r>
          </w:p>
        </w:tc>
        <w:tc>
          <w:tcPr>
            <w:tcW w:w="723" w:type="dxa"/>
            <w:tcBorders>
              <w:top w:val="nil"/>
              <w:left w:val="nil"/>
              <w:bottom w:val="single" w:sz="8" w:space="0" w:color="auto"/>
              <w:right w:val="single" w:sz="8" w:space="0" w:color="auto"/>
            </w:tcBorders>
            <w:shd w:val="clear" w:color="auto" w:fill="auto"/>
            <w:vAlign w:val="center"/>
            <w:hideMark/>
          </w:tcPr>
          <w:p w14:paraId="05A4C4E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530</w:t>
            </w:r>
          </w:p>
        </w:tc>
        <w:tc>
          <w:tcPr>
            <w:tcW w:w="828" w:type="dxa"/>
            <w:tcBorders>
              <w:top w:val="nil"/>
              <w:left w:val="nil"/>
              <w:bottom w:val="single" w:sz="8" w:space="0" w:color="auto"/>
              <w:right w:val="single" w:sz="8" w:space="0" w:color="auto"/>
            </w:tcBorders>
            <w:shd w:val="clear" w:color="auto" w:fill="auto"/>
            <w:vAlign w:val="center"/>
            <w:hideMark/>
          </w:tcPr>
          <w:p w14:paraId="1D21EC8B"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3,9%</w:t>
            </w:r>
          </w:p>
        </w:tc>
        <w:tc>
          <w:tcPr>
            <w:tcW w:w="857" w:type="dxa"/>
            <w:tcBorders>
              <w:top w:val="nil"/>
              <w:left w:val="nil"/>
              <w:bottom w:val="single" w:sz="8" w:space="0" w:color="auto"/>
              <w:right w:val="single" w:sz="8" w:space="0" w:color="auto"/>
            </w:tcBorders>
            <w:shd w:val="clear" w:color="auto" w:fill="auto"/>
            <w:vAlign w:val="center"/>
            <w:hideMark/>
          </w:tcPr>
          <w:p w14:paraId="397C4D30"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15%</w:t>
            </w:r>
          </w:p>
        </w:tc>
        <w:tc>
          <w:tcPr>
            <w:tcW w:w="1130" w:type="dxa"/>
            <w:tcBorders>
              <w:top w:val="nil"/>
              <w:left w:val="nil"/>
              <w:bottom w:val="single" w:sz="8" w:space="0" w:color="auto"/>
              <w:right w:val="single" w:sz="8" w:space="0" w:color="auto"/>
            </w:tcBorders>
            <w:shd w:val="clear" w:color="auto" w:fill="auto"/>
            <w:vAlign w:val="center"/>
            <w:hideMark/>
          </w:tcPr>
          <w:p w14:paraId="70AA0938"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3,1</w:t>
            </w:r>
          </w:p>
        </w:tc>
        <w:tc>
          <w:tcPr>
            <w:tcW w:w="748" w:type="dxa"/>
            <w:tcBorders>
              <w:top w:val="nil"/>
              <w:left w:val="nil"/>
              <w:bottom w:val="single" w:sz="8" w:space="0" w:color="auto"/>
              <w:right w:val="single" w:sz="8" w:space="0" w:color="auto"/>
            </w:tcBorders>
            <w:shd w:val="clear" w:color="auto" w:fill="auto"/>
            <w:vAlign w:val="center"/>
            <w:hideMark/>
          </w:tcPr>
          <w:p w14:paraId="4630A0EE"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0,7%</w:t>
            </w:r>
          </w:p>
        </w:tc>
        <w:tc>
          <w:tcPr>
            <w:tcW w:w="723" w:type="dxa"/>
            <w:tcBorders>
              <w:top w:val="nil"/>
              <w:left w:val="nil"/>
              <w:bottom w:val="single" w:sz="8" w:space="0" w:color="auto"/>
              <w:right w:val="single" w:sz="8" w:space="0" w:color="auto"/>
            </w:tcBorders>
            <w:shd w:val="clear" w:color="auto" w:fill="auto"/>
            <w:vAlign w:val="center"/>
            <w:hideMark/>
          </w:tcPr>
          <w:p w14:paraId="529AA067"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700</w:t>
            </w:r>
          </w:p>
        </w:tc>
        <w:tc>
          <w:tcPr>
            <w:tcW w:w="867" w:type="dxa"/>
            <w:tcBorders>
              <w:top w:val="nil"/>
              <w:left w:val="nil"/>
              <w:bottom w:val="single" w:sz="8" w:space="0" w:color="auto"/>
              <w:right w:val="single" w:sz="8" w:space="0" w:color="auto"/>
            </w:tcBorders>
            <w:shd w:val="clear" w:color="auto" w:fill="auto"/>
            <w:vAlign w:val="center"/>
            <w:hideMark/>
          </w:tcPr>
          <w:p w14:paraId="1108765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2063</w:t>
            </w:r>
          </w:p>
        </w:tc>
        <w:tc>
          <w:tcPr>
            <w:tcW w:w="915" w:type="dxa"/>
            <w:tcBorders>
              <w:top w:val="nil"/>
              <w:left w:val="nil"/>
              <w:bottom w:val="single" w:sz="8" w:space="0" w:color="auto"/>
              <w:right w:val="single" w:sz="8" w:space="0" w:color="auto"/>
            </w:tcBorders>
            <w:shd w:val="clear" w:color="auto" w:fill="auto"/>
            <w:vAlign w:val="center"/>
            <w:hideMark/>
          </w:tcPr>
          <w:p w14:paraId="0CB1E405"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33,9%</w:t>
            </w:r>
          </w:p>
        </w:tc>
        <w:tc>
          <w:tcPr>
            <w:tcW w:w="36" w:type="dxa"/>
            <w:vAlign w:val="center"/>
            <w:hideMark/>
          </w:tcPr>
          <w:p w14:paraId="1F854E90"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6650F755"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6BBF0527"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2013</w:t>
            </w:r>
          </w:p>
        </w:tc>
        <w:tc>
          <w:tcPr>
            <w:tcW w:w="723" w:type="dxa"/>
            <w:tcBorders>
              <w:top w:val="nil"/>
              <w:left w:val="nil"/>
              <w:bottom w:val="single" w:sz="8" w:space="0" w:color="auto"/>
              <w:right w:val="single" w:sz="8" w:space="0" w:color="auto"/>
            </w:tcBorders>
            <w:shd w:val="clear" w:color="auto" w:fill="auto"/>
            <w:vAlign w:val="center"/>
            <w:hideMark/>
          </w:tcPr>
          <w:p w14:paraId="1A359BBC"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610</w:t>
            </w:r>
          </w:p>
        </w:tc>
        <w:tc>
          <w:tcPr>
            <w:tcW w:w="828" w:type="dxa"/>
            <w:tcBorders>
              <w:top w:val="nil"/>
              <w:left w:val="nil"/>
              <w:bottom w:val="single" w:sz="8" w:space="0" w:color="auto"/>
              <w:right w:val="single" w:sz="8" w:space="0" w:color="auto"/>
            </w:tcBorders>
            <w:shd w:val="clear" w:color="auto" w:fill="auto"/>
            <w:vAlign w:val="center"/>
            <w:hideMark/>
          </w:tcPr>
          <w:p w14:paraId="15A44ACC"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13,4%</w:t>
            </w:r>
          </w:p>
        </w:tc>
        <w:tc>
          <w:tcPr>
            <w:tcW w:w="857" w:type="dxa"/>
            <w:tcBorders>
              <w:top w:val="nil"/>
              <w:left w:val="nil"/>
              <w:bottom w:val="single" w:sz="8" w:space="0" w:color="auto"/>
              <w:right w:val="single" w:sz="8" w:space="0" w:color="auto"/>
            </w:tcBorders>
            <w:shd w:val="clear" w:color="auto" w:fill="auto"/>
            <w:vAlign w:val="center"/>
            <w:hideMark/>
          </w:tcPr>
          <w:p w14:paraId="5AD6433B"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30,4%</w:t>
            </w:r>
          </w:p>
        </w:tc>
        <w:tc>
          <w:tcPr>
            <w:tcW w:w="1130" w:type="dxa"/>
            <w:tcBorders>
              <w:top w:val="nil"/>
              <w:left w:val="nil"/>
              <w:bottom w:val="single" w:sz="8" w:space="0" w:color="auto"/>
              <w:right w:val="single" w:sz="8" w:space="0" w:color="auto"/>
            </w:tcBorders>
            <w:shd w:val="clear" w:color="auto" w:fill="auto"/>
            <w:vAlign w:val="center"/>
            <w:hideMark/>
          </w:tcPr>
          <w:p w14:paraId="68DE277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5</w:t>
            </w:r>
          </w:p>
        </w:tc>
        <w:tc>
          <w:tcPr>
            <w:tcW w:w="748" w:type="dxa"/>
            <w:tcBorders>
              <w:top w:val="nil"/>
              <w:left w:val="nil"/>
              <w:bottom w:val="single" w:sz="8" w:space="0" w:color="auto"/>
              <w:right w:val="single" w:sz="8" w:space="0" w:color="auto"/>
            </w:tcBorders>
            <w:shd w:val="clear" w:color="auto" w:fill="auto"/>
            <w:vAlign w:val="center"/>
            <w:hideMark/>
          </w:tcPr>
          <w:p w14:paraId="2D9C014E"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7,8%</w:t>
            </w:r>
          </w:p>
        </w:tc>
        <w:tc>
          <w:tcPr>
            <w:tcW w:w="723" w:type="dxa"/>
            <w:tcBorders>
              <w:top w:val="nil"/>
              <w:left w:val="nil"/>
              <w:bottom w:val="single" w:sz="8" w:space="0" w:color="auto"/>
              <w:right w:val="single" w:sz="8" w:space="0" w:color="auto"/>
            </w:tcBorders>
            <w:shd w:val="clear" w:color="auto" w:fill="auto"/>
            <w:vAlign w:val="center"/>
            <w:hideMark/>
          </w:tcPr>
          <w:p w14:paraId="54EACC5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800</w:t>
            </w:r>
          </w:p>
        </w:tc>
        <w:tc>
          <w:tcPr>
            <w:tcW w:w="867" w:type="dxa"/>
            <w:tcBorders>
              <w:top w:val="nil"/>
              <w:left w:val="nil"/>
              <w:bottom w:val="single" w:sz="8" w:space="0" w:color="auto"/>
              <w:right w:val="single" w:sz="8" w:space="0" w:color="auto"/>
            </w:tcBorders>
            <w:shd w:val="clear" w:color="auto" w:fill="auto"/>
            <w:vAlign w:val="center"/>
            <w:hideMark/>
          </w:tcPr>
          <w:p w14:paraId="4EAE695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2163</w:t>
            </w:r>
          </w:p>
        </w:tc>
        <w:tc>
          <w:tcPr>
            <w:tcW w:w="915" w:type="dxa"/>
            <w:tcBorders>
              <w:top w:val="nil"/>
              <w:left w:val="nil"/>
              <w:bottom w:val="single" w:sz="8" w:space="0" w:color="auto"/>
              <w:right w:val="single" w:sz="8" w:space="0" w:color="auto"/>
            </w:tcBorders>
            <w:shd w:val="clear" w:color="auto" w:fill="auto"/>
            <w:vAlign w:val="center"/>
            <w:hideMark/>
          </w:tcPr>
          <w:p w14:paraId="140B335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37%</w:t>
            </w:r>
          </w:p>
        </w:tc>
        <w:tc>
          <w:tcPr>
            <w:tcW w:w="36" w:type="dxa"/>
            <w:vAlign w:val="center"/>
            <w:hideMark/>
          </w:tcPr>
          <w:p w14:paraId="0CBDBEE4"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31EAEB36"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4B2D752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2014</w:t>
            </w:r>
          </w:p>
        </w:tc>
        <w:tc>
          <w:tcPr>
            <w:tcW w:w="723" w:type="dxa"/>
            <w:tcBorders>
              <w:top w:val="nil"/>
              <w:left w:val="nil"/>
              <w:bottom w:val="single" w:sz="8" w:space="0" w:color="auto"/>
              <w:right w:val="single" w:sz="8" w:space="0" w:color="auto"/>
            </w:tcBorders>
            <w:shd w:val="clear" w:color="auto" w:fill="auto"/>
            <w:vAlign w:val="center"/>
            <w:hideMark/>
          </w:tcPr>
          <w:p w14:paraId="29F4745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670</w:t>
            </w:r>
          </w:p>
        </w:tc>
        <w:tc>
          <w:tcPr>
            <w:tcW w:w="828" w:type="dxa"/>
            <w:tcBorders>
              <w:top w:val="nil"/>
              <w:left w:val="nil"/>
              <w:bottom w:val="single" w:sz="8" w:space="0" w:color="auto"/>
              <w:right w:val="single" w:sz="8" w:space="0" w:color="auto"/>
            </w:tcBorders>
            <w:shd w:val="clear" w:color="auto" w:fill="auto"/>
            <w:vAlign w:val="center"/>
            <w:hideMark/>
          </w:tcPr>
          <w:p w14:paraId="222034A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11,5%</w:t>
            </w:r>
          </w:p>
        </w:tc>
        <w:tc>
          <w:tcPr>
            <w:tcW w:w="857" w:type="dxa"/>
            <w:tcBorders>
              <w:top w:val="nil"/>
              <w:left w:val="nil"/>
              <w:bottom w:val="single" w:sz="8" w:space="0" w:color="auto"/>
              <w:right w:val="single" w:sz="8" w:space="0" w:color="auto"/>
            </w:tcBorders>
            <w:shd w:val="clear" w:color="auto" w:fill="auto"/>
            <w:vAlign w:val="center"/>
            <w:hideMark/>
          </w:tcPr>
          <w:p w14:paraId="488FC41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45,3%</w:t>
            </w:r>
          </w:p>
        </w:tc>
        <w:tc>
          <w:tcPr>
            <w:tcW w:w="1130" w:type="dxa"/>
            <w:tcBorders>
              <w:top w:val="nil"/>
              <w:left w:val="nil"/>
              <w:bottom w:val="single" w:sz="8" w:space="0" w:color="auto"/>
              <w:right w:val="single" w:sz="8" w:space="0" w:color="auto"/>
            </w:tcBorders>
            <w:shd w:val="clear" w:color="auto" w:fill="auto"/>
            <w:vAlign w:val="center"/>
            <w:hideMark/>
          </w:tcPr>
          <w:p w14:paraId="4E62FB7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1,6</w:t>
            </w:r>
          </w:p>
        </w:tc>
        <w:tc>
          <w:tcPr>
            <w:tcW w:w="748" w:type="dxa"/>
            <w:tcBorders>
              <w:top w:val="nil"/>
              <w:left w:val="nil"/>
              <w:bottom w:val="single" w:sz="8" w:space="0" w:color="auto"/>
              <w:right w:val="single" w:sz="8" w:space="0" w:color="auto"/>
            </w:tcBorders>
            <w:shd w:val="clear" w:color="auto" w:fill="auto"/>
            <w:vAlign w:val="center"/>
            <w:hideMark/>
          </w:tcPr>
          <w:p w14:paraId="46555B18"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9,8%</w:t>
            </w:r>
          </w:p>
        </w:tc>
        <w:tc>
          <w:tcPr>
            <w:tcW w:w="723" w:type="dxa"/>
            <w:tcBorders>
              <w:top w:val="nil"/>
              <w:left w:val="nil"/>
              <w:bottom w:val="single" w:sz="8" w:space="0" w:color="auto"/>
              <w:right w:val="single" w:sz="8" w:space="0" w:color="auto"/>
            </w:tcBorders>
            <w:shd w:val="clear" w:color="auto" w:fill="auto"/>
            <w:vAlign w:val="center"/>
            <w:hideMark/>
          </w:tcPr>
          <w:p w14:paraId="53948C46"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900</w:t>
            </w:r>
          </w:p>
        </w:tc>
        <w:tc>
          <w:tcPr>
            <w:tcW w:w="867" w:type="dxa"/>
            <w:tcBorders>
              <w:top w:val="nil"/>
              <w:left w:val="nil"/>
              <w:bottom w:val="single" w:sz="8" w:space="0" w:color="auto"/>
              <w:right w:val="single" w:sz="8" w:space="0" w:color="auto"/>
            </w:tcBorders>
            <w:shd w:val="clear" w:color="auto" w:fill="auto"/>
            <w:vAlign w:val="center"/>
            <w:hideMark/>
          </w:tcPr>
          <w:p w14:paraId="04D62A22"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2328</w:t>
            </w:r>
          </w:p>
        </w:tc>
        <w:tc>
          <w:tcPr>
            <w:tcW w:w="915" w:type="dxa"/>
            <w:tcBorders>
              <w:top w:val="nil"/>
              <w:left w:val="nil"/>
              <w:bottom w:val="single" w:sz="8" w:space="0" w:color="auto"/>
              <w:right w:val="single" w:sz="8" w:space="0" w:color="auto"/>
            </w:tcBorders>
            <w:shd w:val="clear" w:color="auto" w:fill="auto"/>
            <w:vAlign w:val="center"/>
            <w:hideMark/>
          </w:tcPr>
          <w:p w14:paraId="271AFF85"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38,7%</w:t>
            </w:r>
          </w:p>
        </w:tc>
        <w:tc>
          <w:tcPr>
            <w:tcW w:w="36" w:type="dxa"/>
            <w:vAlign w:val="center"/>
            <w:hideMark/>
          </w:tcPr>
          <w:p w14:paraId="51C94863"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14824C9C"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1C4E4A04"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2015</w:t>
            </w:r>
          </w:p>
        </w:tc>
        <w:tc>
          <w:tcPr>
            <w:tcW w:w="723" w:type="dxa"/>
            <w:tcBorders>
              <w:top w:val="nil"/>
              <w:left w:val="nil"/>
              <w:bottom w:val="single" w:sz="8" w:space="0" w:color="auto"/>
              <w:right w:val="single" w:sz="8" w:space="0" w:color="auto"/>
            </w:tcBorders>
            <w:shd w:val="clear" w:color="auto" w:fill="auto"/>
            <w:vAlign w:val="center"/>
            <w:hideMark/>
          </w:tcPr>
          <w:p w14:paraId="027A354D"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785</w:t>
            </w:r>
          </w:p>
        </w:tc>
        <w:tc>
          <w:tcPr>
            <w:tcW w:w="828" w:type="dxa"/>
            <w:tcBorders>
              <w:top w:val="nil"/>
              <w:left w:val="nil"/>
              <w:bottom w:val="single" w:sz="8" w:space="0" w:color="auto"/>
              <w:right w:val="single" w:sz="8" w:space="0" w:color="auto"/>
            </w:tcBorders>
            <w:shd w:val="clear" w:color="auto" w:fill="auto"/>
            <w:vAlign w:val="center"/>
            <w:hideMark/>
          </w:tcPr>
          <w:p w14:paraId="255B8724"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17,2%</w:t>
            </w:r>
          </w:p>
        </w:tc>
        <w:tc>
          <w:tcPr>
            <w:tcW w:w="857" w:type="dxa"/>
            <w:tcBorders>
              <w:top w:val="nil"/>
              <w:left w:val="nil"/>
              <w:bottom w:val="single" w:sz="8" w:space="0" w:color="auto"/>
              <w:right w:val="single" w:sz="8" w:space="0" w:color="auto"/>
            </w:tcBorders>
            <w:shd w:val="clear" w:color="auto" w:fill="auto"/>
            <w:vAlign w:val="center"/>
            <w:hideMark/>
          </w:tcPr>
          <w:p w14:paraId="435C447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70,3%</w:t>
            </w:r>
          </w:p>
        </w:tc>
        <w:tc>
          <w:tcPr>
            <w:tcW w:w="1130" w:type="dxa"/>
            <w:tcBorders>
              <w:top w:val="nil"/>
              <w:left w:val="nil"/>
              <w:bottom w:val="single" w:sz="8" w:space="0" w:color="auto"/>
              <w:right w:val="single" w:sz="8" w:space="0" w:color="auto"/>
            </w:tcBorders>
            <w:shd w:val="clear" w:color="auto" w:fill="auto"/>
            <w:vAlign w:val="center"/>
            <w:hideMark/>
          </w:tcPr>
          <w:p w14:paraId="45BACE7D"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0,8</w:t>
            </w:r>
          </w:p>
        </w:tc>
        <w:tc>
          <w:tcPr>
            <w:tcW w:w="748" w:type="dxa"/>
            <w:tcBorders>
              <w:top w:val="nil"/>
              <w:left w:val="nil"/>
              <w:bottom w:val="single" w:sz="8" w:space="0" w:color="auto"/>
              <w:right w:val="single" w:sz="8" w:space="0" w:color="auto"/>
            </w:tcBorders>
            <w:shd w:val="clear" w:color="auto" w:fill="auto"/>
            <w:vAlign w:val="center"/>
            <w:hideMark/>
          </w:tcPr>
          <w:p w14:paraId="2A905BA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16,2%</w:t>
            </w:r>
          </w:p>
        </w:tc>
        <w:tc>
          <w:tcPr>
            <w:tcW w:w="723" w:type="dxa"/>
            <w:tcBorders>
              <w:top w:val="nil"/>
              <w:left w:val="nil"/>
              <w:bottom w:val="single" w:sz="8" w:space="0" w:color="auto"/>
              <w:right w:val="single" w:sz="8" w:space="0" w:color="auto"/>
            </w:tcBorders>
            <w:shd w:val="clear" w:color="auto" w:fill="auto"/>
            <w:vAlign w:val="center"/>
            <w:hideMark/>
          </w:tcPr>
          <w:p w14:paraId="7F1962D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1050</w:t>
            </w:r>
          </w:p>
        </w:tc>
        <w:tc>
          <w:tcPr>
            <w:tcW w:w="867" w:type="dxa"/>
            <w:tcBorders>
              <w:top w:val="nil"/>
              <w:left w:val="nil"/>
              <w:bottom w:val="single" w:sz="8" w:space="0" w:color="auto"/>
              <w:right w:val="single" w:sz="8" w:space="0" w:color="auto"/>
            </w:tcBorders>
            <w:shd w:val="clear" w:color="auto" w:fill="auto"/>
            <w:vAlign w:val="center"/>
            <w:hideMark/>
          </w:tcPr>
          <w:p w14:paraId="0BF0F8D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2555</w:t>
            </w:r>
          </w:p>
        </w:tc>
        <w:tc>
          <w:tcPr>
            <w:tcW w:w="915" w:type="dxa"/>
            <w:tcBorders>
              <w:top w:val="nil"/>
              <w:left w:val="nil"/>
              <w:bottom w:val="single" w:sz="8" w:space="0" w:color="auto"/>
              <w:right w:val="single" w:sz="8" w:space="0" w:color="auto"/>
            </w:tcBorders>
            <w:shd w:val="clear" w:color="auto" w:fill="auto"/>
            <w:vAlign w:val="center"/>
            <w:hideMark/>
          </w:tcPr>
          <w:p w14:paraId="368829C0"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41,1%</w:t>
            </w:r>
          </w:p>
        </w:tc>
        <w:tc>
          <w:tcPr>
            <w:tcW w:w="36" w:type="dxa"/>
            <w:vAlign w:val="center"/>
            <w:hideMark/>
          </w:tcPr>
          <w:p w14:paraId="20B68112"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1CA8379E"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65C1B192"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2016</w:t>
            </w:r>
          </w:p>
        </w:tc>
        <w:tc>
          <w:tcPr>
            <w:tcW w:w="723" w:type="dxa"/>
            <w:tcBorders>
              <w:top w:val="nil"/>
              <w:left w:val="nil"/>
              <w:bottom w:val="single" w:sz="8" w:space="0" w:color="auto"/>
              <w:right w:val="single" w:sz="8" w:space="0" w:color="auto"/>
            </w:tcBorders>
            <w:shd w:val="clear" w:color="auto" w:fill="auto"/>
            <w:vAlign w:val="center"/>
            <w:hideMark/>
          </w:tcPr>
          <w:p w14:paraId="52C61105"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925</w:t>
            </w:r>
          </w:p>
        </w:tc>
        <w:tc>
          <w:tcPr>
            <w:tcW w:w="828" w:type="dxa"/>
            <w:tcBorders>
              <w:top w:val="nil"/>
              <w:left w:val="nil"/>
              <w:bottom w:val="single" w:sz="8" w:space="0" w:color="auto"/>
              <w:right w:val="single" w:sz="8" w:space="0" w:color="auto"/>
            </w:tcBorders>
            <w:shd w:val="clear" w:color="auto" w:fill="auto"/>
            <w:vAlign w:val="center"/>
            <w:hideMark/>
          </w:tcPr>
          <w:p w14:paraId="1387C4A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17,8%</w:t>
            </w:r>
          </w:p>
        </w:tc>
        <w:tc>
          <w:tcPr>
            <w:tcW w:w="857" w:type="dxa"/>
            <w:tcBorders>
              <w:top w:val="nil"/>
              <w:left w:val="nil"/>
              <w:bottom w:val="single" w:sz="8" w:space="0" w:color="auto"/>
              <w:right w:val="single" w:sz="8" w:space="0" w:color="auto"/>
            </w:tcBorders>
            <w:shd w:val="clear" w:color="auto" w:fill="auto"/>
            <w:vAlign w:val="center"/>
            <w:hideMark/>
          </w:tcPr>
          <w:p w14:paraId="5A8F5032"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100,7%</w:t>
            </w:r>
          </w:p>
        </w:tc>
        <w:tc>
          <w:tcPr>
            <w:tcW w:w="1130" w:type="dxa"/>
            <w:tcBorders>
              <w:top w:val="nil"/>
              <w:left w:val="nil"/>
              <w:bottom w:val="single" w:sz="8" w:space="0" w:color="auto"/>
              <w:right w:val="single" w:sz="8" w:space="0" w:color="auto"/>
            </w:tcBorders>
            <w:shd w:val="clear" w:color="auto" w:fill="auto"/>
            <w:vAlign w:val="center"/>
            <w:hideMark/>
          </w:tcPr>
          <w:p w14:paraId="470463BB"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-0,9</w:t>
            </w:r>
          </w:p>
        </w:tc>
        <w:tc>
          <w:tcPr>
            <w:tcW w:w="748" w:type="dxa"/>
            <w:tcBorders>
              <w:top w:val="nil"/>
              <w:left w:val="nil"/>
              <w:bottom w:val="single" w:sz="8" w:space="0" w:color="auto"/>
              <w:right w:val="single" w:sz="8" w:space="0" w:color="auto"/>
            </w:tcBorders>
            <w:shd w:val="clear" w:color="auto" w:fill="auto"/>
            <w:vAlign w:val="center"/>
            <w:hideMark/>
          </w:tcPr>
          <w:p w14:paraId="0E72E76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18,9%</w:t>
            </w:r>
          </w:p>
        </w:tc>
        <w:tc>
          <w:tcPr>
            <w:tcW w:w="723" w:type="dxa"/>
            <w:tcBorders>
              <w:top w:val="nil"/>
              <w:left w:val="nil"/>
              <w:bottom w:val="single" w:sz="8" w:space="0" w:color="auto"/>
              <w:right w:val="single" w:sz="8" w:space="0" w:color="auto"/>
            </w:tcBorders>
            <w:shd w:val="clear" w:color="auto" w:fill="auto"/>
            <w:vAlign w:val="center"/>
            <w:hideMark/>
          </w:tcPr>
          <w:p w14:paraId="69245EE4"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1250</w:t>
            </w:r>
          </w:p>
        </w:tc>
        <w:tc>
          <w:tcPr>
            <w:tcW w:w="867" w:type="dxa"/>
            <w:tcBorders>
              <w:top w:val="nil"/>
              <w:left w:val="nil"/>
              <w:bottom w:val="single" w:sz="8" w:space="0" w:color="auto"/>
              <w:right w:val="single" w:sz="8" w:space="0" w:color="auto"/>
            </w:tcBorders>
            <w:shd w:val="clear" w:color="auto" w:fill="auto"/>
            <w:vAlign w:val="center"/>
            <w:hideMark/>
          </w:tcPr>
          <w:p w14:paraId="33593010"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2809</w:t>
            </w:r>
          </w:p>
        </w:tc>
        <w:tc>
          <w:tcPr>
            <w:tcW w:w="915" w:type="dxa"/>
            <w:tcBorders>
              <w:top w:val="nil"/>
              <w:left w:val="nil"/>
              <w:bottom w:val="single" w:sz="8" w:space="0" w:color="auto"/>
              <w:right w:val="single" w:sz="8" w:space="0" w:color="auto"/>
            </w:tcBorders>
            <w:shd w:val="clear" w:color="auto" w:fill="auto"/>
            <w:vAlign w:val="center"/>
            <w:hideMark/>
          </w:tcPr>
          <w:p w14:paraId="7F95AA7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44,5%</w:t>
            </w:r>
          </w:p>
        </w:tc>
        <w:tc>
          <w:tcPr>
            <w:tcW w:w="36" w:type="dxa"/>
            <w:vAlign w:val="center"/>
            <w:hideMark/>
          </w:tcPr>
          <w:p w14:paraId="2BBA1444"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6991AE19"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7C6A63BD"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2017</w:t>
            </w:r>
          </w:p>
        </w:tc>
        <w:tc>
          <w:tcPr>
            <w:tcW w:w="723" w:type="dxa"/>
            <w:tcBorders>
              <w:top w:val="nil"/>
              <w:left w:val="nil"/>
              <w:bottom w:val="single" w:sz="8" w:space="0" w:color="auto"/>
              <w:right w:val="single" w:sz="8" w:space="0" w:color="auto"/>
            </w:tcBorders>
            <w:shd w:val="clear" w:color="auto" w:fill="auto"/>
            <w:vAlign w:val="center"/>
            <w:hideMark/>
          </w:tcPr>
          <w:p w14:paraId="18814478"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1065</w:t>
            </w:r>
          </w:p>
        </w:tc>
        <w:tc>
          <w:tcPr>
            <w:tcW w:w="828" w:type="dxa"/>
            <w:tcBorders>
              <w:top w:val="nil"/>
              <w:left w:val="nil"/>
              <w:bottom w:val="single" w:sz="8" w:space="0" w:color="auto"/>
              <w:right w:val="single" w:sz="8" w:space="0" w:color="auto"/>
            </w:tcBorders>
            <w:shd w:val="clear" w:color="auto" w:fill="auto"/>
            <w:vAlign w:val="center"/>
            <w:hideMark/>
          </w:tcPr>
          <w:p w14:paraId="322C7E58"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15,1%</w:t>
            </w:r>
          </w:p>
        </w:tc>
        <w:tc>
          <w:tcPr>
            <w:tcW w:w="857" w:type="dxa"/>
            <w:tcBorders>
              <w:top w:val="nil"/>
              <w:left w:val="nil"/>
              <w:bottom w:val="single" w:sz="8" w:space="0" w:color="auto"/>
              <w:right w:val="single" w:sz="8" w:space="0" w:color="auto"/>
            </w:tcBorders>
            <w:shd w:val="clear" w:color="auto" w:fill="auto"/>
            <w:vAlign w:val="center"/>
            <w:hideMark/>
          </w:tcPr>
          <w:p w14:paraId="6FF7CC22"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131%</w:t>
            </w:r>
          </w:p>
        </w:tc>
        <w:tc>
          <w:tcPr>
            <w:tcW w:w="1130" w:type="dxa"/>
            <w:tcBorders>
              <w:top w:val="nil"/>
              <w:left w:val="nil"/>
              <w:bottom w:val="single" w:sz="8" w:space="0" w:color="auto"/>
              <w:right w:val="single" w:sz="8" w:space="0" w:color="auto"/>
            </w:tcBorders>
            <w:shd w:val="clear" w:color="auto" w:fill="auto"/>
            <w:vAlign w:val="center"/>
            <w:hideMark/>
          </w:tcPr>
          <w:p w14:paraId="105F3036"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-0,5</w:t>
            </w:r>
          </w:p>
        </w:tc>
        <w:tc>
          <w:tcPr>
            <w:tcW w:w="748" w:type="dxa"/>
            <w:tcBorders>
              <w:top w:val="nil"/>
              <w:left w:val="nil"/>
              <w:bottom w:val="single" w:sz="8" w:space="0" w:color="auto"/>
              <w:right w:val="single" w:sz="8" w:space="0" w:color="auto"/>
            </w:tcBorders>
            <w:shd w:val="clear" w:color="auto" w:fill="auto"/>
            <w:vAlign w:val="center"/>
            <w:hideMark/>
          </w:tcPr>
          <w:p w14:paraId="2EC944D6"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15,8%</w:t>
            </w:r>
          </w:p>
        </w:tc>
        <w:tc>
          <w:tcPr>
            <w:tcW w:w="723" w:type="dxa"/>
            <w:tcBorders>
              <w:top w:val="nil"/>
              <w:left w:val="nil"/>
              <w:bottom w:val="single" w:sz="8" w:space="0" w:color="auto"/>
              <w:right w:val="single" w:sz="8" w:space="0" w:color="auto"/>
            </w:tcBorders>
            <w:shd w:val="clear" w:color="auto" w:fill="auto"/>
            <w:vAlign w:val="center"/>
            <w:hideMark/>
          </w:tcPr>
          <w:p w14:paraId="7A62889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1450</w:t>
            </w:r>
          </w:p>
        </w:tc>
        <w:tc>
          <w:tcPr>
            <w:tcW w:w="867" w:type="dxa"/>
            <w:tcBorders>
              <w:top w:val="nil"/>
              <w:left w:val="nil"/>
              <w:bottom w:val="single" w:sz="8" w:space="0" w:color="auto"/>
              <w:right w:val="single" w:sz="8" w:space="0" w:color="auto"/>
            </w:tcBorders>
            <w:shd w:val="clear" w:color="auto" w:fill="auto"/>
            <w:vAlign w:val="center"/>
            <w:hideMark/>
          </w:tcPr>
          <w:p w14:paraId="311E708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3223</w:t>
            </w:r>
          </w:p>
        </w:tc>
        <w:tc>
          <w:tcPr>
            <w:tcW w:w="915" w:type="dxa"/>
            <w:tcBorders>
              <w:top w:val="nil"/>
              <w:left w:val="nil"/>
              <w:bottom w:val="single" w:sz="8" w:space="0" w:color="auto"/>
              <w:right w:val="single" w:sz="8" w:space="0" w:color="auto"/>
            </w:tcBorders>
            <w:shd w:val="clear" w:color="auto" w:fill="auto"/>
            <w:vAlign w:val="center"/>
            <w:hideMark/>
          </w:tcPr>
          <w:p w14:paraId="77CEDD80"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45%</w:t>
            </w:r>
          </w:p>
        </w:tc>
        <w:tc>
          <w:tcPr>
            <w:tcW w:w="36" w:type="dxa"/>
            <w:vAlign w:val="center"/>
            <w:hideMark/>
          </w:tcPr>
          <w:p w14:paraId="56147321"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28154DB2"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14D0F19E"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2018</w:t>
            </w:r>
          </w:p>
        </w:tc>
        <w:tc>
          <w:tcPr>
            <w:tcW w:w="723" w:type="dxa"/>
            <w:tcBorders>
              <w:top w:val="nil"/>
              <w:left w:val="nil"/>
              <w:bottom w:val="single" w:sz="8" w:space="0" w:color="auto"/>
              <w:right w:val="single" w:sz="8" w:space="0" w:color="auto"/>
            </w:tcBorders>
            <w:shd w:val="clear" w:color="auto" w:fill="auto"/>
            <w:vAlign w:val="center"/>
            <w:hideMark/>
          </w:tcPr>
          <w:p w14:paraId="2ED1E988"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1162</w:t>
            </w:r>
          </w:p>
        </w:tc>
        <w:tc>
          <w:tcPr>
            <w:tcW w:w="828" w:type="dxa"/>
            <w:tcBorders>
              <w:top w:val="nil"/>
              <w:left w:val="nil"/>
              <w:bottom w:val="single" w:sz="8" w:space="0" w:color="auto"/>
              <w:right w:val="single" w:sz="8" w:space="0" w:color="auto"/>
            </w:tcBorders>
            <w:shd w:val="clear" w:color="auto" w:fill="auto"/>
            <w:vAlign w:val="center"/>
            <w:hideMark/>
          </w:tcPr>
          <w:p w14:paraId="45F8C38C"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9,1%</w:t>
            </w:r>
          </w:p>
        </w:tc>
        <w:tc>
          <w:tcPr>
            <w:tcW w:w="857" w:type="dxa"/>
            <w:tcBorders>
              <w:top w:val="nil"/>
              <w:left w:val="nil"/>
              <w:bottom w:val="single" w:sz="8" w:space="0" w:color="auto"/>
              <w:right w:val="single" w:sz="8" w:space="0" w:color="auto"/>
            </w:tcBorders>
            <w:shd w:val="clear" w:color="auto" w:fill="auto"/>
            <w:vAlign w:val="center"/>
            <w:hideMark/>
          </w:tcPr>
          <w:p w14:paraId="7372B416"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152,1%</w:t>
            </w:r>
          </w:p>
        </w:tc>
        <w:tc>
          <w:tcPr>
            <w:tcW w:w="1130" w:type="dxa"/>
            <w:tcBorders>
              <w:top w:val="nil"/>
              <w:left w:val="nil"/>
              <w:bottom w:val="single" w:sz="8" w:space="0" w:color="auto"/>
              <w:right w:val="single" w:sz="8" w:space="0" w:color="auto"/>
            </w:tcBorders>
            <w:shd w:val="clear" w:color="auto" w:fill="auto"/>
            <w:vAlign w:val="center"/>
            <w:hideMark/>
          </w:tcPr>
          <w:p w14:paraId="1273B538"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3,3</w:t>
            </w:r>
          </w:p>
        </w:tc>
        <w:tc>
          <w:tcPr>
            <w:tcW w:w="748" w:type="dxa"/>
            <w:tcBorders>
              <w:top w:val="nil"/>
              <w:left w:val="nil"/>
              <w:bottom w:val="single" w:sz="8" w:space="0" w:color="auto"/>
              <w:right w:val="single" w:sz="8" w:space="0" w:color="auto"/>
            </w:tcBorders>
            <w:shd w:val="clear" w:color="auto" w:fill="auto"/>
            <w:vAlign w:val="center"/>
            <w:hideMark/>
          </w:tcPr>
          <w:p w14:paraId="7BFBD75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5,5%</w:t>
            </w:r>
          </w:p>
        </w:tc>
        <w:tc>
          <w:tcPr>
            <w:tcW w:w="723" w:type="dxa"/>
            <w:tcBorders>
              <w:top w:val="nil"/>
              <w:left w:val="nil"/>
              <w:bottom w:val="single" w:sz="8" w:space="0" w:color="auto"/>
              <w:right w:val="single" w:sz="8" w:space="0" w:color="auto"/>
            </w:tcBorders>
            <w:shd w:val="clear" w:color="auto" w:fill="auto"/>
            <w:vAlign w:val="center"/>
            <w:hideMark/>
          </w:tcPr>
          <w:p w14:paraId="0780448D"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1900</w:t>
            </w:r>
          </w:p>
        </w:tc>
        <w:tc>
          <w:tcPr>
            <w:tcW w:w="867" w:type="dxa"/>
            <w:tcBorders>
              <w:top w:val="nil"/>
              <w:left w:val="nil"/>
              <w:bottom w:val="single" w:sz="8" w:space="0" w:color="auto"/>
              <w:right w:val="single" w:sz="8" w:space="0" w:color="auto"/>
            </w:tcBorders>
            <w:shd w:val="clear" w:color="auto" w:fill="auto"/>
            <w:vAlign w:val="center"/>
            <w:hideMark/>
          </w:tcPr>
          <w:p w14:paraId="5ED28E17"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4357</w:t>
            </w:r>
          </w:p>
        </w:tc>
        <w:tc>
          <w:tcPr>
            <w:tcW w:w="915" w:type="dxa"/>
            <w:tcBorders>
              <w:top w:val="nil"/>
              <w:left w:val="nil"/>
              <w:bottom w:val="single" w:sz="8" w:space="0" w:color="auto"/>
              <w:right w:val="single" w:sz="8" w:space="0" w:color="auto"/>
            </w:tcBorders>
            <w:shd w:val="clear" w:color="auto" w:fill="auto"/>
            <w:vAlign w:val="center"/>
            <w:hideMark/>
          </w:tcPr>
          <w:p w14:paraId="4EA2036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43,6%</w:t>
            </w:r>
          </w:p>
        </w:tc>
        <w:tc>
          <w:tcPr>
            <w:tcW w:w="36" w:type="dxa"/>
            <w:vAlign w:val="center"/>
            <w:hideMark/>
          </w:tcPr>
          <w:p w14:paraId="3868D08C"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4E90E2D1"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54528067"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2019</w:t>
            </w:r>
          </w:p>
        </w:tc>
        <w:tc>
          <w:tcPr>
            <w:tcW w:w="723" w:type="dxa"/>
            <w:tcBorders>
              <w:top w:val="nil"/>
              <w:left w:val="nil"/>
              <w:bottom w:val="single" w:sz="8" w:space="0" w:color="auto"/>
              <w:right w:val="single" w:sz="8" w:space="0" w:color="auto"/>
            </w:tcBorders>
            <w:shd w:val="clear" w:color="auto" w:fill="auto"/>
            <w:vAlign w:val="center"/>
            <w:hideMark/>
          </w:tcPr>
          <w:p w14:paraId="7C14C7FB"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1263</w:t>
            </w:r>
          </w:p>
        </w:tc>
        <w:tc>
          <w:tcPr>
            <w:tcW w:w="828" w:type="dxa"/>
            <w:tcBorders>
              <w:top w:val="nil"/>
              <w:left w:val="nil"/>
              <w:bottom w:val="single" w:sz="8" w:space="0" w:color="auto"/>
              <w:right w:val="single" w:sz="8" w:space="0" w:color="auto"/>
            </w:tcBorders>
            <w:shd w:val="clear" w:color="auto" w:fill="auto"/>
            <w:vAlign w:val="center"/>
            <w:hideMark/>
          </w:tcPr>
          <w:p w14:paraId="4448DCD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8,7%</w:t>
            </w:r>
          </w:p>
        </w:tc>
        <w:tc>
          <w:tcPr>
            <w:tcW w:w="857" w:type="dxa"/>
            <w:tcBorders>
              <w:top w:val="nil"/>
              <w:left w:val="nil"/>
              <w:bottom w:val="single" w:sz="8" w:space="0" w:color="auto"/>
              <w:right w:val="single" w:sz="8" w:space="0" w:color="auto"/>
            </w:tcBorders>
            <w:shd w:val="clear" w:color="auto" w:fill="auto"/>
            <w:vAlign w:val="center"/>
            <w:hideMark/>
          </w:tcPr>
          <w:p w14:paraId="3A4D43A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174%</w:t>
            </w:r>
          </w:p>
        </w:tc>
        <w:tc>
          <w:tcPr>
            <w:tcW w:w="1130" w:type="dxa"/>
            <w:tcBorders>
              <w:top w:val="nil"/>
              <w:left w:val="nil"/>
              <w:bottom w:val="single" w:sz="8" w:space="0" w:color="auto"/>
              <w:right w:val="single" w:sz="8" w:space="0" w:color="auto"/>
            </w:tcBorders>
            <w:shd w:val="clear" w:color="auto" w:fill="auto"/>
            <w:vAlign w:val="center"/>
            <w:hideMark/>
          </w:tcPr>
          <w:p w14:paraId="41284650"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3,3</w:t>
            </w:r>
          </w:p>
        </w:tc>
        <w:tc>
          <w:tcPr>
            <w:tcW w:w="748" w:type="dxa"/>
            <w:tcBorders>
              <w:top w:val="nil"/>
              <w:left w:val="nil"/>
              <w:bottom w:val="single" w:sz="8" w:space="0" w:color="auto"/>
              <w:right w:val="single" w:sz="8" w:space="0" w:color="auto"/>
            </w:tcBorders>
            <w:shd w:val="clear" w:color="auto" w:fill="auto"/>
            <w:vAlign w:val="center"/>
            <w:hideMark/>
          </w:tcPr>
          <w:p w14:paraId="411E483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5,1%</w:t>
            </w:r>
          </w:p>
        </w:tc>
        <w:tc>
          <w:tcPr>
            <w:tcW w:w="723" w:type="dxa"/>
            <w:tcBorders>
              <w:top w:val="nil"/>
              <w:left w:val="nil"/>
              <w:bottom w:val="single" w:sz="8" w:space="0" w:color="auto"/>
              <w:right w:val="single" w:sz="8" w:space="0" w:color="auto"/>
            </w:tcBorders>
            <w:shd w:val="clear" w:color="auto" w:fill="auto"/>
            <w:vAlign w:val="center"/>
            <w:hideMark/>
          </w:tcPr>
          <w:p w14:paraId="41C49DE6"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2080</w:t>
            </w:r>
          </w:p>
        </w:tc>
        <w:tc>
          <w:tcPr>
            <w:tcW w:w="867" w:type="dxa"/>
            <w:tcBorders>
              <w:top w:val="nil"/>
              <w:left w:val="nil"/>
              <w:bottom w:val="single" w:sz="8" w:space="0" w:color="auto"/>
              <w:right w:val="single" w:sz="8" w:space="0" w:color="auto"/>
            </w:tcBorders>
            <w:shd w:val="clear" w:color="auto" w:fill="auto"/>
            <w:vAlign w:val="center"/>
            <w:hideMark/>
          </w:tcPr>
          <w:p w14:paraId="2EEA646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4853</w:t>
            </w:r>
          </w:p>
        </w:tc>
        <w:tc>
          <w:tcPr>
            <w:tcW w:w="915" w:type="dxa"/>
            <w:tcBorders>
              <w:top w:val="nil"/>
              <w:left w:val="nil"/>
              <w:bottom w:val="single" w:sz="8" w:space="0" w:color="auto"/>
              <w:right w:val="single" w:sz="8" w:space="0" w:color="auto"/>
            </w:tcBorders>
            <w:shd w:val="clear" w:color="auto" w:fill="auto"/>
            <w:vAlign w:val="center"/>
            <w:hideMark/>
          </w:tcPr>
          <w:p w14:paraId="711BD508"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42,9%</w:t>
            </w:r>
          </w:p>
        </w:tc>
        <w:tc>
          <w:tcPr>
            <w:tcW w:w="36" w:type="dxa"/>
            <w:vAlign w:val="center"/>
            <w:hideMark/>
          </w:tcPr>
          <w:p w14:paraId="53C88486"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7F0364D7"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275A597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2020</w:t>
            </w:r>
          </w:p>
        </w:tc>
        <w:tc>
          <w:tcPr>
            <w:tcW w:w="723" w:type="dxa"/>
            <w:tcBorders>
              <w:top w:val="nil"/>
              <w:left w:val="nil"/>
              <w:bottom w:val="single" w:sz="8" w:space="0" w:color="auto"/>
              <w:right w:val="single" w:sz="8" w:space="0" w:color="auto"/>
            </w:tcBorders>
            <w:shd w:val="clear" w:color="auto" w:fill="auto"/>
            <w:vAlign w:val="center"/>
            <w:hideMark/>
          </w:tcPr>
          <w:p w14:paraId="50273FDD"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1346</w:t>
            </w:r>
          </w:p>
        </w:tc>
        <w:tc>
          <w:tcPr>
            <w:tcW w:w="828" w:type="dxa"/>
            <w:tcBorders>
              <w:top w:val="nil"/>
              <w:left w:val="nil"/>
              <w:bottom w:val="single" w:sz="8" w:space="0" w:color="auto"/>
              <w:right w:val="single" w:sz="8" w:space="0" w:color="auto"/>
            </w:tcBorders>
            <w:shd w:val="clear" w:color="auto" w:fill="auto"/>
            <w:vAlign w:val="center"/>
            <w:hideMark/>
          </w:tcPr>
          <w:p w14:paraId="0CC9D10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6,6%</w:t>
            </w:r>
          </w:p>
        </w:tc>
        <w:tc>
          <w:tcPr>
            <w:tcW w:w="857" w:type="dxa"/>
            <w:tcBorders>
              <w:top w:val="nil"/>
              <w:left w:val="nil"/>
              <w:bottom w:val="single" w:sz="8" w:space="0" w:color="auto"/>
              <w:right w:val="single" w:sz="8" w:space="0" w:color="auto"/>
            </w:tcBorders>
            <w:shd w:val="clear" w:color="auto" w:fill="auto"/>
            <w:vAlign w:val="center"/>
            <w:hideMark/>
          </w:tcPr>
          <w:p w14:paraId="35641DC2"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192%</w:t>
            </w:r>
          </w:p>
        </w:tc>
        <w:tc>
          <w:tcPr>
            <w:tcW w:w="1130" w:type="dxa"/>
            <w:tcBorders>
              <w:top w:val="nil"/>
              <w:left w:val="nil"/>
              <w:bottom w:val="single" w:sz="8" w:space="0" w:color="auto"/>
              <w:right w:val="single" w:sz="8" w:space="0" w:color="auto"/>
            </w:tcBorders>
            <w:shd w:val="clear" w:color="auto" w:fill="auto"/>
            <w:vAlign w:val="center"/>
            <w:hideMark/>
          </w:tcPr>
          <w:p w14:paraId="5CD661C2"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w:t>
            </w:r>
          </w:p>
        </w:tc>
        <w:tc>
          <w:tcPr>
            <w:tcW w:w="748" w:type="dxa"/>
            <w:tcBorders>
              <w:top w:val="nil"/>
              <w:left w:val="nil"/>
              <w:bottom w:val="single" w:sz="8" w:space="0" w:color="auto"/>
              <w:right w:val="single" w:sz="8" w:space="0" w:color="auto"/>
            </w:tcBorders>
            <w:shd w:val="clear" w:color="auto" w:fill="auto"/>
            <w:vAlign w:val="center"/>
            <w:hideMark/>
          </w:tcPr>
          <w:p w14:paraId="277137D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2,3%</w:t>
            </w:r>
          </w:p>
        </w:tc>
        <w:tc>
          <w:tcPr>
            <w:tcW w:w="723" w:type="dxa"/>
            <w:tcBorders>
              <w:top w:val="nil"/>
              <w:left w:val="nil"/>
              <w:bottom w:val="single" w:sz="8" w:space="0" w:color="auto"/>
              <w:right w:val="single" w:sz="8" w:space="0" w:color="auto"/>
            </w:tcBorders>
            <w:shd w:val="clear" w:color="auto" w:fill="auto"/>
            <w:vAlign w:val="center"/>
            <w:hideMark/>
          </w:tcPr>
          <w:p w14:paraId="3D788102"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2230</w:t>
            </w:r>
          </w:p>
        </w:tc>
        <w:tc>
          <w:tcPr>
            <w:tcW w:w="867" w:type="dxa"/>
            <w:tcBorders>
              <w:top w:val="nil"/>
              <w:left w:val="nil"/>
              <w:bottom w:val="single" w:sz="8" w:space="0" w:color="auto"/>
              <w:right w:val="single" w:sz="8" w:space="0" w:color="auto"/>
            </w:tcBorders>
            <w:shd w:val="clear" w:color="auto" w:fill="auto"/>
            <w:vAlign w:val="center"/>
            <w:hideMark/>
          </w:tcPr>
          <w:p w14:paraId="52FA0942"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5213</w:t>
            </w:r>
          </w:p>
        </w:tc>
        <w:tc>
          <w:tcPr>
            <w:tcW w:w="915" w:type="dxa"/>
            <w:tcBorders>
              <w:top w:val="nil"/>
              <w:left w:val="nil"/>
              <w:bottom w:val="single" w:sz="8" w:space="0" w:color="auto"/>
              <w:right w:val="single" w:sz="8" w:space="0" w:color="auto"/>
            </w:tcBorders>
            <w:shd w:val="clear" w:color="auto" w:fill="auto"/>
            <w:vAlign w:val="center"/>
            <w:hideMark/>
          </w:tcPr>
          <w:p w14:paraId="5D421984"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42,8%</w:t>
            </w:r>
          </w:p>
        </w:tc>
        <w:tc>
          <w:tcPr>
            <w:tcW w:w="36" w:type="dxa"/>
            <w:vAlign w:val="center"/>
            <w:hideMark/>
          </w:tcPr>
          <w:p w14:paraId="4BD9D669"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7B5B1009"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40407F1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2021</w:t>
            </w:r>
          </w:p>
        </w:tc>
        <w:tc>
          <w:tcPr>
            <w:tcW w:w="723" w:type="dxa"/>
            <w:tcBorders>
              <w:top w:val="nil"/>
              <w:left w:val="nil"/>
              <w:bottom w:val="single" w:sz="8" w:space="0" w:color="auto"/>
              <w:right w:val="single" w:sz="8" w:space="0" w:color="auto"/>
            </w:tcBorders>
            <w:shd w:val="clear" w:color="auto" w:fill="auto"/>
            <w:vAlign w:val="center"/>
            <w:hideMark/>
          </w:tcPr>
          <w:p w14:paraId="05599B36"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1386</w:t>
            </w:r>
          </w:p>
        </w:tc>
        <w:tc>
          <w:tcPr>
            <w:tcW w:w="828" w:type="dxa"/>
            <w:tcBorders>
              <w:top w:val="nil"/>
              <w:left w:val="nil"/>
              <w:bottom w:val="single" w:sz="8" w:space="0" w:color="auto"/>
              <w:right w:val="single" w:sz="8" w:space="0" w:color="auto"/>
            </w:tcBorders>
            <w:shd w:val="clear" w:color="auto" w:fill="auto"/>
            <w:vAlign w:val="center"/>
            <w:hideMark/>
          </w:tcPr>
          <w:p w14:paraId="59A41D04"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w:t>
            </w:r>
          </w:p>
        </w:tc>
        <w:tc>
          <w:tcPr>
            <w:tcW w:w="857" w:type="dxa"/>
            <w:tcBorders>
              <w:top w:val="nil"/>
              <w:left w:val="nil"/>
              <w:bottom w:val="single" w:sz="8" w:space="0" w:color="auto"/>
              <w:right w:val="single" w:sz="8" w:space="0" w:color="auto"/>
            </w:tcBorders>
            <w:shd w:val="clear" w:color="auto" w:fill="auto"/>
            <w:vAlign w:val="center"/>
            <w:hideMark/>
          </w:tcPr>
          <w:p w14:paraId="07F9F75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200,7%</w:t>
            </w:r>
          </w:p>
        </w:tc>
        <w:tc>
          <w:tcPr>
            <w:tcW w:w="1130" w:type="dxa"/>
            <w:tcBorders>
              <w:top w:val="nil"/>
              <w:left w:val="nil"/>
              <w:bottom w:val="single" w:sz="8" w:space="0" w:color="auto"/>
              <w:right w:val="single" w:sz="8" w:space="0" w:color="auto"/>
            </w:tcBorders>
            <w:shd w:val="clear" w:color="auto" w:fill="auto"/>
            <w:vAlign w:val="center"/>
            <w:hideMark/>
          </w:tcPr>
          <w:p w14:paraId="1B92E375"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2,1</w:t>
            </w:r>
          </w:p>
        </w:tc>
        <w:tc>
          <w:tcPr>
            <w:tcW w:w="748" w:type="dxa"/>
            <w:tcBorders>
              <w:top w:val="nil"/>
              <w:left w:val="nil"/>
              <w:bottom w:val="single" w:sz="8" w:space="0" w:color="auto"/>
              <w:right w:val="single" w:sz="8" w:space="0" w:color="auto"/>
            </w:tcBorders>
            <w:shd w:val="clear" w:color="auto" w:fill="auto"/>
            <w:vAlign w:val="center"/>
            <w:hideMark/>
          </w:tcPr>
          <w:p w14:paraId="6D2CB5F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0,9%</w:t>
            </w:r>
          </w:p>
        </w:tc>
        <w:tc>
          <w:tcPr>
            <w:tcW w:w="723" w:type="dxa"/>
            <w:tcBorders>
              <w:top w:val="nil"/>
              <w:left w:val="nil"/>
              <w:bottom w:val="single" w:sz="8" w:space="0" w:color="auto"/>
              <w:right w:val="single" w:sz="8" w:space="0" w:color="auto"/>
            </w:tcBorders>
            <w:shd w:val="clear" w:color="auto" w:fill="auto"/>
            <w:vAlign w:val="center"/>
            <w:hideMark/>
          </w:tcPr>
          <w:p w14:paraId="674E13AE"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2300</w:t>
            </w:r>
          </w:p>
        </w:tc>
        <w:tc>
          <w:tcPr>
            <w:tcW w:w="867" w:type="dxa"/>
            <w:tcBorders>
              <w:top w:val="nil"/>
              <w:left w:val="nil"/>
              <w:bottom w:val="single" w:sz="8" w:space="0" w:color="auto"/>
              <w:right w:val="single" w:sz="8" w:space="0" w:color="auto"/>
            </w:tcBorders>
            <w:shd w:val="clear" w:color="auto" w:fill="auto"/>
            <w:vAlign w:val="center"/>
            <w:hideMark/>
          </w:tcPr>
          <w:p w14:paraId="3955EEB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5335</w:t>
            </w:r>
          </w:p>
        </w:tc>
        <w:tc>
          <w:tcPr>
            <w:tcW w:w="915" w:type="dxa"/>
            <w:tcBorders>
              <w:top w:val="nil"/>
              <w:left w:val="nil"/>
              <w:bottom w:val="single" w:sz="8" w:space="0" w:color="auto"/>
              <w:right w:val="single" w:sz="8" w:space="0" w:color="auto"/>
            </w:tcBorders>
            <w:shd w:val="clear" w:color="auto" w:fill="auto"/>
            <w:vAlign w:val="center"/>
            <w:hideMark/>
          </w:tcPr>
          <w:p w14:paraId="30B41A5B"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41,6%</w:t>
            </w:r>
          </w:p>
        </w:tc>
        <w:tc>
          <w:tcPr>
            <w:tcW w:w="36" w:type="dxa"/>
            <w:vAlign w:val="center"/>
            <w:hideMark/>
          </w:tcPr>
          <w:p w14:paraId="0863E529"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1073C580"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6F8327AC"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lastRenderedPageBreak/>
              <w:t>2022</w:t>
            </w:r>
          </w:p>
        </w:tc>
        <w:tc>
          <w:tcPr>
            <w:tcW w:w="723" w:type="dxa"/>
            <w:tcBorders>
              <w:top w:val="nil"/>
              <w:left w:val="nil"/>
              <w:bottom w:val="single" w:sz="8" w:space="0" w:color="auto"/>
              <w:right w:val="single" w:sz="8" w:space="0" w:color="auto"/>
            </w:tcBorders>
            <w:shd w:val="clear" w:color="auto" w:fill="auto"/>
            <w:vAlign w:val="center"/>
            <w:hideMark/>
          </w:tcPr>
          <w:p w14:paraId="1595DBC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1524</w:t>
            </w:r>
          </w:p>
        </w:tc>
        <w:tc>
          <w:tcPr>
            <w:tcW w:w="828" w:type="dxa"/>
            <w:tcBorders>
              <w:top w:val="nil"/>
              <w:left w:val="nil"/>
              <w:bottom w:val="single" w:sz="8" w:space="0" w:color="auto"/>
              <w:right w:val="single" w:sz="8" w:space="0" w:color="auto"/>
            </w:tcBorders>
            <w:shd w:val="clear" w:color="auto" w:fill="auto"/>
            <w:vAlign w:val="center"/>
            <w:hideMark/>
          </w:tcPr>
          <w:p w14:paraId="311E647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10%</w:t>
            </w:r>
          </w:p>
        </w:tc>
        <w:tc>
          <w:tcPr>
            <w:tcW w:w="857" w:type="dxa"/>
            <w:tcBorders>
              <w:top w:val="nil"/>
              <w:left w:val="nil"/>
              <w:bottom w:val="single" w:sz="8" w:space="0" w:color="auto"/>
              <w:right w:val="single" w:sz="8" w:space="0" w:color="auto"/>
            </w:tcBorders>
            <w:shd w:val="clear" w:color="auto" w:fill="auto"/>
            <w:vAlign w:val="center"/>
            <w:hideMark/>
          </w:tcPr>
          <w:p w14:paraId="760057DB"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230,6%</w:t>
            </w:r>
          </w:p>
        </w:tc>
        <w:tc>
          <w:tcPr>
            <w:tcW w:w="1130" w:type="dxa"/>
            <w:tcBorders>
              <w:top w:val="nil"/>
              <w:left w:val="nil"/>
              <w:bottom w:val="single" w:sz="8" w:space="0" w:color="auto"/>
              <w:right w:val="single" w:sz="8" w:space="0" w:color="auto"/>
            </w:tcBorders>
            <w:shd w:val="clear" w:color="auto" w:fill="auto"/>
            <w:vAlign w:val="center"/>
            <w:hideMark/>
          </w:tcPr>
          <w:p w14:paraId="063762B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8,2</w:t>
            </w:r>
          </w:p>
        </w:tc>
        <w:tc>
          <w:tcPr>
            <w:tcW w:w="748" w:type="dxa"/>
            <w:tcBorders>
              <w:top w:val="nil"/>
              <w:left w:val="nil"/>
              <w:bottom w:val="single" w:sz="8" w:space="0" w:color="auto"/>
              <w:right w:val="single" w:sz="8" w:space="0" w:color="auto"/>
            </w:tcBorders>
            <w:shd w:val="clear" w:color="auto" w:fill="auto"/>
            <w:vAlign w:val="center"/>
            <w:hideMark/>
          </w:tcPr>
          <w:p w14:paraId="15D317EB"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w:t>
            </w:r>
          </w:p>
        </w:tc>
        <w:tc>
          <w:tcPr>
            <w:tcW w:w="723" w:type="dxa"/>
            <w:tcBorders>
              <w:top w:val="nil"/>
              <w:left w:val="nil"/>
              <w:bottom w:val="single" w:sz="8" w:space="0" w:color="auto"/>
              <w:right w:val="single" w:sz="8" w:space="0" w:color="auto"/>
            </w:tcBorders>
            <w:shd w:val="clear" w:color="auto" w:fill="auto"/>
            <w:vAlign w:val="center"/>
            <w:hideMark/>
          </w:tcPr>
          <w:p w14:paraId="5E495B80"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2550</w:t>
            </w:r>
          </w:p>
        </w:tc>
        <w:tc>
          <w:tcPr>
            <w:tcW w:w="867" w:type="dxa"/>
            <w:tcBorders>
              <w:top w:val="nil"/>
              <w:left w:val="nil"/>
              <w:bottom w:val="single" w:sz="8" w:space="0" w:color="auto"/>
              <w:right w:val="single" w:sz="8" w:space="0" w:color="auto"/>
            </w:tcBorders>
            <w:shd w:val="clear" w:color="auto" w:fill="auto"/>
            <w:vAlign w:val="center"/>
            <w:hideMark/>
          </w:tcPr>
          <w:p w14:paraId="3F48222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6126</w:t>
            </w:r>
          </w:p>
        </w:tc>
        <w:tc>
          <w:tcPr>
            <w:tcW w:w="915" w:type="dxa"/>
            <w:tcBorders>
              <w:top w:val="nil"/>
              <w:left w:val="nil"/>
              <w:bottom w:val="single" w:sz="8" w:space="0" w:color="auto"/>
              <w:right w:val="single" w:sz="8" w:space="0" w:color="auto"/>
            </w:tcBorders>
            <w:shd w:val="clear" w:color="auto" w:fill="auto"/>
            <w:vAlign w:val="center"/>
            <w:hideMark/>
          </w:tcPr>
          <w:p w14:paraId="4D5223A7"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41,6%</w:t>
            </w:r>
          </w:p>
        </w:tc>
        <w:tc>
          <w:tcPr>
            <w:tcW w:w="36" w:type="dxa"/>
            <w:vAlign w:val="center"/>
            <w:hideMark/>
          </w:tcPr>
          <w:p w14:paraId="632EAB70"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5283C6E1"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446C82DC"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2023</w:t>
            </w:r>
          </w:p>
        </w:tc>
        <w:tc>
          <w:tcPr>
            <w:tcW w:w="723" w:type="dxa"/>
            <w:tcBorders>
              <w:top w:val="nil"/>
              <w:left w:val="nil"/>
              <w:bottom w:val="single" w:sz="8" w:space="0" w:color="auto"/>
              <w:right w:val="single" w:sz="8" w:space="0" w:color="auto"/>
            </w:tcBorders>
            <w:shd w:val="clear" w:color="auto" w:fill="auto"/>
            <w:vAlign w:val="center"/>
            <w:hideMark/>
          </w:tcPr>
          <w:p w14:paraId="11E51714"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1898</w:t>
            </w:r>
          </w:p>
        </w:tc>
        <w:tc>
          <w:tcPr>
            <w:tcW w:w="828" w:type="dxa"/>
            <w:tcBorders>
              <w:top w:val="nil"/>
              <w:left w:val="nil"/>
              <w:bottom w:val="single" w:sz="8" w:space="0" w:color="auto"/>
              <w:right w:val="single" w:sz="8" w:space="0" w:color="auto"/>
            </w:tcBorders>
            <w:shd w:val="clear" w:color="auto" w:fill="auto"/>
            <w:vAlign w:val="center"/>
            <w:hideMark/>
          </w:tcPr>
          <w:p w14:paraId="1CB315FC"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24,5%</w:t>
            </w:r>
          </w:p>
        </w:tc>
        <w:tc>
          <w:tcPr>
            <w:tcW w:w="857" w:type="dxa"/>
            <w:tcBorders>
              <w:top w:val="nil"/>
              <w:left w:val="nil"/>
              <w:bottom w:val="single" w:sz="8" w:space="0" w:color="auto"/>
              <w:right w:val="single" w:sz="8" w:space="0" w:color="auto"/>
            </w:tcBorders>
            <w:shd w:val="clear" w:color="auto" w:fill="auto"/>
            <w:vAlign w:val="center"/>
            <w:hideMark/>
          </w:tcPr>
          <w:p w14:paraId="1D5F357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311,7%</w:t>
            </w:r>
          </w:p>
        </w:tc>
        <w:tc>
          <w:tcPr>
            <w:tcW w:w="1130" w:type="dxa"/>
            <w:tcBorders>
              <w:top w:val="nil"/>
              <w:left w:val="nil"/>
              <w:bottom w:val="single" w:sz="8" w:space="0" w:color="auto"/>
              <w:right w:val="single" w:sz="8" w:space="0" w:color="auto"/>
            </w:tcBorders>
            <w:shd w:val="clear" w:color="auto" w:fill="auto"/>
            <w:vAlign w:val="center"/>
            <w:hideMark/>
          </w:tcPr>
          <w:p w14:paraId="68931D06"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16,4</w:t>
            </w:r>
          </w:p>
        </w:tc>
        <w:tc>
          <w:tcPr>
            <w:tcW w:w="748" w:type="dxa"/>
            <w:tcBorders>
              <w:top w:val="nil"/>
              <w:left w:val="nil"/>
              <w:bottom w:val="single" w:sz="8" w:space="0" w:color="auto"/>
              <w:right w:val="single" w:sz="8" w:space="0" w:color="auto"/>
            </w:tcBorders>
            <w:shd w:val="clear" w:color="auto" w:fill="auto"/>
            <w:vAlign w:val="center"/>
            <w:hideMark/>
          </w:tcPr>
          <w:p w14:paraId="6ECD669D"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4,2%</w:t>
            </w:r>
          </w:p>
        </w:tc>
        <w:tc>
          <w:tcPr>
            <w:tcW w:w="723" w:type="dxa"/>
            <w:tcBorders>
              <w:top w:val="nil"/>
              <w:left w:val="nil"/>
              <w:bottom w:val="single" w:sz="8" w:space="0" w:color="auto"/>
              <w:right w:val="single" w:sz="8" w:space="0" w:color="auto"/>
            </w:tcBorders>
            <w:shd w:val="clear" w:color="auto" w:fill="auto"/>
            <w:vAlign w:val="center"/>
            <w:hideMark/>
          </w:tcPr>
          <w:p w14:paraId="58E68367"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3000</w:t>
            </w:r>
          </w:p>
        </w:tc>
        <w:tc>
          <w:tcPr>
            <w:tcW w:w="867" w:type="dxa"/>
            <w:tcBorders>
              <w:top w:val="nil"/>
              <w:left w:val="nil"/>
              <w:bottom w:val="single" w:sz="8" w:space="0" w:color="auto"/>
              <w:right w:val="single" w:sz="8" w:space="0" w:color="auto"/>
            </w:tcBorders>
            <w:shd w:val="clear" w:color="auto" w:fill="auto"/>
            <w:vAlign w:val="center"/>
            <w:hideMark/>
          </w:tcPr>
          <w:p w14:paraId="1E4BF5B0"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6971</w:t>
            </w:r>
          </w:p>
        </w:tc>
        <w:tc>
          <w:tcPr>
            <w:tcW w:w="915" w:type="dxa"/>
            <w:tcBorders>
              <w:top w:val="nil"/>
              <w:left w:val="nil"/>
              <w:bottom w:val="single" w:sz="8" w:space="0" w:color="auto"/>
              <w:right w:val="single" w:sz="8" w:space="0" w:color="auto"/>
            </w:tcBorders>
            <w:shd w:val="clear" w:color="auto" w:fill="auto"/>
            <w:vAlign w:val="center"/>
            <w:hideMark/>
          </w:tcPr>
          <w:p w14:paraId="631D30A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43%</w:t>
            </w:r>
          </w:p>
        </w:tc>
        <w:tc>
          <w:tcPr>
            <w:tcW w:w="36" w:type="dxa"/>
            <w:vAlign w:val="center"/>
            <w:hideMark/>
          </w:tcPr>
          <w:p w14:paraId="71E0A76C"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1A7A3FBF" w14:textId="77777777" w:rsidTr="008938E8">
        <w:trPr>
          <w:trHeight w:val="30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24718E44"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2024</w:t>
            </w:r>
          </w:p>
        </w:tc>
        <w:tc>
          <w:tcPr>
            <w:tcW w:w="723" w:type="dxa"/>
            <w:tcBorders>
              <w:top w:val="nil"/>
              <w:left w:val="nil"/>
              <w:bottom w:val="single" w:sz="8" w:space="0" w:color="auto"/>
              <w:right w:val="single" w:sz="8" w:space="0" w:color="auto"/>
            </w:tcBorders>
            <w:shd w:val="clear" w:color="auto" w:fill="auto"/>
            <w:vAlign w:val="center"/>
            <w:hideMark/>
          </w:tcPr>
          <w:p w14:paraId="336B8917"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2079</w:t>
            </w:r>
          </w:p>
        </w:tc>
        <w:tc>
          <w:tcPr>
            <w:tcW w:w="828" w:type="dxa"/>
            <w:tcBorders>
              <w:top w:val="nil"/>
              <w:left w:val="nil"/>
              <w:bottom w:val="single" w:sz="8" w:space="0" w:color="auto"/>
              <w:right w:val="single" w:sz="8" w:space="0" w:color="auto"/>
            </w:tcBorders>
            <w:shd w:val="clear" w:color="auto" w:fill="auto"/>
            <w:vAlign w:val="center"/>
            <w:hideMark/>
          </w:tcPr>
          <w:p w14:paraId="3F770EA6"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9,5%</w:t>
            </w:r>
          </w:p>
        </w:tc>
        <w:tc>
          <w:tcPr>
            <w:tcW w:w="857" w:type="dxa"/>
            <w:tcBorders>
              <w:top w:val="nil"/>
              <w:left w:val="nil"/>
              <w:bottom w:val="single" w:sz="8" w:space="0" w:color="auto"/>
              <w:right w:val="single" w:sz="8" w:space="0" w:color="auto"/>
            </w:tcBorders>
            <w:shd w:val="clear" w:color="auto" w:fill="auto"/>
            <w:vAlign w:val="center"/>
            <w:hideMark/>
          </w:tcPr>
          <w:p w14:paraId="5579C13B"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351%</w:t>
            </w:r>
          </w:p>
        </w:tc>
        <w:tc>
          <w:tcPr>
            <w:tcW w:w="1130" w:type="dxa"/>
            <w:tcBorders>
              <w:top w:val="nil"/>
              <w:left w:val="nil"/>
              <w:bottom w:val="single" w:sz="8" w:space="0" w:color="auto"/>
              <w:right w:val="single" w:sz="8" w:space="0" w:color="auto"/>
            </w:tcBorders>
            <w:shd w:val="clear" w:color="auto" w:fill="auto"/>
            <w:vAlign w:val="center"/>
            <w:hideMark/>
          </w:tcPr>
          <w:p w14:paraId="3AF6E6DA"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6,6</w:t>
            </w:r>
          </w:p>
        </w:tc>
        <w:tc>
          <w:tcPr>
            <w:tcW w:w="748" w:type="dxa"/>
            <w:tcBorders>
              <w:top w:val="nil"/>
              <w:left w:val="nil"/>
              <w:bottom w:val="single" w:sz="8" w:space="0" w:color="auto"/>
              <w:right w:val="single" w:sz="8" w:space="0" w:color="auto"/>
            </w:tcBorders>
            <w:shd w:val="clear" w:color="auto" w:fill="auto"/>
            <w:vAlign w:val="center"/>
            <w:hideMark/>
          </w:tcPr>
          <w:p w14:paraId="2D02FAA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2,3%</w:t>
            </w:r>
          </w:p>
        </w:tc>
        <w:tc>
          <w:tcPr>
            <w:tcW w:w="723" w:type="dxa"/>
            <w:tcBorders>
              <w:top w:val="nil"/>
              <w:left w:val="nil"/>
              <w:bottom w:val="single" w:sz="8" w:space="0" w:color="auto"/>
              <w:right w:val="single" w:sz="8" w:space="0" w:color="auto"/>
            </w:tcBorders>
            <w:shd w:val="clear" w:color="auto" w:fill="auto"/>
            <w:vAlign w:val="center"/>
            <w:hideMark/>
          </w:tcPr>
          <w:p w14:paraId="6657DBF8"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3300</w:t>
            </w:r>
          </w:p>
        </w:tc>
        <w:tc>
          <w:tcPr>
            <w:tcW w:w="867" w:type="dxa"/>
            <w:tcBorders>
              <w:top w:val="nil"/>
              <w:left w:val="nil"/>
              <w:bottom w:val="single" w:sz="8" w:space="0" w:color="auto"/>
              <w:right w:val="single" w:sz="8" w:space="0" w:color="auto"/>
            </w:tcBorders>
            <w:shd w:val="clear" w:color="auto" w:fill="auto"/>
            <w:vAlign w:val="center"/>
            <w:hideMark/>
          </w:tcPr>
          <w:p w14:paraId="539EB57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7976</w:t>
            </w:r>
          </w:p>
        </w:tc>
        <w:tc>
          <w:tcPr>
            <w:tcW w:w="915" w:type="dxa"/>
            <w:tcBorders>
              <w:top w:val="nil"/>
              <w:left w:val="nil"/>
              <w:bottom w:val="single" w:sz="8" w:space="0" w:color="auto"/>
              <w:right w:val="single" w:sz="8" w:space="0" w:color="auto"/>
            </w:tcBorders>
            <w:shd w:val="clear" w:color="auto" w:fill="auto"/>
            <w:vAlign w:val="center"/>
            <w:hideMark/>
          </w:tcPr>
          <w:p w14:paraId="0AA4D0E1"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41,4%</w:t>
            </w:r>
          </w:p>
        </w:tc>
        <w:tc>
          <w:tcPr>
            <w:tcW w:w="36" w:type="dxa"/>
            <w:vAlign w:val="center"/>
            <w:hideMark/>
          </w:tcPr>
          <w:p w14:paraId="6FEE0D1F"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r w:rsidR="008938E8" w:rsidRPr="008938E8" w14:paraId="475C7C7A" w14:textId="77777777" w:rsidTr="008938E8">
        <w:trPr>
          <w:trHeight w:val="540"/>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14:paraId="5EEC4200"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2024 (iulie)</w:t>
            </w:r>
          </w:p>
        </w:tc>
        <w:tc>
          <w:tcPr>
            <w:tcW w:w="723" w:type="dxa"/>
            <w:tcBorders>
              <w:top w:val="nil"/>
              <w:left w:val="nil"/>
              <w:bottom w:val="single" w:sz="8" w:space="0" w:color="auto"/>
              <w:right w:val="single" w:sz="8" w:space="0" w:color="auto"/>
            </w:tcBorders>
            <w:shd w:val="clear" w:color="auto" w:fill="auto"/>
            <w:vAlign w:val="center"/>
            <w:hideMark/>
          </w:tcPr>
          <w:p w14:paraId="28ACDC02"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2363</w:t>
            </w:r>
          </w:p>
        </w:tc>
        <w:tc>
          <w:tcPr>
            <w:tcW w:w="828" w:type="dxa"/>
            <w:tcBorders>
              <w:top w:val="nil"/>
              <w:left w:val="nil"/>
              <w:bottom w:val="single" w:sz="8" w:space="0" w:color="auto"/>
              <w:right w:val="single" w:sz="8" w:space="0" w:color="auto"/>
            </w:tcBorders>
            <w:shd w:val="clear" w:color="auto" w:fill="auto"/>
            <w:vAlign w:val="center"/>
            <w:hideMark/>
          </w:tcPr>
          <w:p w14:paraId="0A8102AF"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13,7%</w:t>
            </w:r>
          </w:p>
        </w:tc>
        <w:tc>
          <w:tcPr>
            <w:tcW w:w="857" w:type="dxa"/>
            <w:tcBorders>
              <w:top w:val="nil"/>
              <w:left w:val="nil"/>
              <w:bottom w:val="single" w:sz="8" w:space="0" w:color="auto"/>
              <w:right w:val="single" w:sz="8" w:space="0" w:color="auto"/>
            </w:tcBorders>
            <w:shd w:val="clear" w:color="auto" w:fill="auto"/>
            <w:vAlign w:val="center"/>
            <w:hideMark/>
          </w:tcPr>
          <w:p w14:paraId="1250B1C5"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412,6%</w:t>
            </w:r>
          </w:p>
        </w:tc>
        <w:tc>
          <w:tcPr>
            <w:tcW w:w="1130" w:type="dxa"/>
            <w:tcBorders>
              <w:top w:val="nil"/>
              <w:left w:val="nil"/>
              <w:bottom w:val="single" w:sz="8" w:space="0" w:color="auto"/>
              <w:right w:val="single" w:sz="8" w:space="0" w:color="auto"/>
            </w:tcBorders>
            <w:shd w:val="clear" w:color="auto" w:fill="auto"/>
            <w:vAlign w:val="center"/>
            <w:hideMark/>
          </w:tcPr>
          <w:p w14:paraId="3CC07CE7"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4,9</w:t>
            </w:r>
          </w:p>
        </w:tc>
        <w:tc>
          <w:tcPr>
            <w:tcW w:w="748" w:type="dxa"/>
            <w:tcBorders>
              <w:top w:val="nil"/>
              <w:left w:val="nil"/>
              <w:bottom w:val="single" w:sz="8" w:space="0" w:color="auto"/>
              <w:right w:val="single" w:sz="8" w:space="0" w:color="auto"/>
            </w:tcBorders>
            <w:shd w:val="clear" w:color="auto" w:fill="auto"/>
            <w:vAlign w:val="center"/>
            <w:hideMark/>
          </w:tcPr>
          <w:p w14:paraId="3F847572"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8%</w:t>
            </w:r>
          </w:p>
        </w:tc>
        <w:tc>
          <w:tcPr>
            <w:tcW w:w="723" w:type="dxa"/>
            <w:tcBorders>
              <w:top w:val="nil"/>
              <w:left w:val="nil"/>
              <w:bottom w:val="single" w:sz="8" w:space="0" w:color="auto"/>
              <w:right w:val="single" w:sz="8" w:space="0" w:color="auto"/>
            </w:tcBorders>
            <w:shd w:val="clear" w:color="auto" w:fill="auto"/>
            <w:vAlign w:val="center"/>
            <w:hideMark/>
          </w:tcPr>
          <w:p w14:paraId="579A73D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3700</w:t>
            </w:r>
          </w:p>
        </w:tc>
        <w:tc>
          <w:tcPr>
            <w:tcW w:w="867" w:type="dxa"/>
            <w:tcBorders>
              <w:top w:val="nil"/>
              <w:left w:val="nil"/>
              <w:bottom w:val="single" w:sz="8" w:space="0" w:color="auto"/>
              <w:right w:val="single" w:sz="8" w:space="0" w:color="auto"/>
            </w:tcBorders>
            <w:shd w:val="clear" w:color="auto" w:fill="auto"/>
            <w:vAlign w:val="center"/>
            <w:hideMark/>
          </w:tcPr>
          <w:p w14:paraId="5B5B3913"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8580</w:t>
            </w:r>
          </w:p>
        </w:tc>
        <w:tc>
          <w:tcPr>
            <w:tcW w:w="915" w:type="dxa"/>
            <w:tcBorders>
              <w:top w:val="nil"/>
              <w:left w:val="nil"/>
              <w:bottom w:val="single" w:sz="8" w:space="0" w:color="auto"/>
              <w:right w:val="single" w:sz="8" w:space="0" w:color="auto"/>
            </w:tcBorders>
            <w:shd w:val="clear" w:color="auto" w:fill="auto"/>
            <w:vAlign w:val="center"/>
            <w:hideMark/>
          </w:tcPr>
          <w:p w14:paraId="55A987A9" w14:textId="77777777" w:rsidR="008938E8" w:rsidRPr="008938E8" w:rsidRDefault="008938E8" w:rsidP="008938E8">
            <w:pPr>
              <w:spacing w:line="240" w:lineRule="auto"/>
              <w:ind w:firstLine="0"/>
              <w:jc w:val="left"/>
              <w:rPr>
                <w:rFonts w:ascii="Times New Roman" w:eastAsia="Times New Roman" w:hAnsi="Times New Roman" w:cs="Times New Roman"/>
                <w:color w:val="000000"/>
                <w:sz w:val="20"/>
                <w:szCs w:val="20"/>
                <w:lang w:val="ro-RO" w:eastAsia="ro-RO"/>
              </w:rPr>
            </w:pPr>
            <w:r w:rsidRPr="008938E8">
              <w:rPr>
                <w:rFonts w:ascii="Times New Roman" w:eastAsia="Times New Roman" w:hAnsi="Times New Roman" w:cs="Times New Roman"/>
                <w:color w:val="000000"/>
                <w:sz w:val="20"/>
                <w:szCs w:val="20"/>
                <w:lang w:val="ro-RO" w:eastAsia="ro-RO"/>
              </w:rPr>
              <w:t>43,1%</w:t>
            </w:r>
          </w:p>
        </w:tc>
        <w:tc>
          <w:tcPr>
            <w:tcW w:w="36" w:type="dxa"/>
            <w:vAlign w:val="center"/>
            <w:hideMark/>
          </w:tcPr>
          <w:p w14:paraId="63C63E9A" w14:textId="77777777" w:rsidR="008938E8" w:rsidRPr="008938E8" w:rsidRDefault="008938E8" w:rsidP="008938E8">
            <w:pPr>
              <w:spacing w:line="240" w:lineRule="auto"/>
              <w:ind w:firstLine="0"/>
              <w:jc w:val="left"/>
              <w:rPr>
                <w:rFonts w:ascii="Times New Roman" w:eastAsia="Times New Roman" w:hAnsi="Times New Roman" w:cs="Times New Roman"/>
                <w:sz w:val="20"/>
                <w:szCs w:val="20"/>
                <w:lang w:val="ro-RO" w:eastAsia="ro-RO"/>
              </w:rPr>
            </w:pPr>
          </w:p>
        </w:tc>
      </w:tr>
    </w:tbl>
    <w:p w14:paraId="4F5FBCBD" w14:textId="34AA61E4" w:rsidR="00B006AA" w:rsidRPr="00022502" w:rsidRDefault="00B006AA" w:rsidP="00022502">
      <w:pPr>
        <w:rPr>
          <w:lang w:val="ro-RO"/>
        </w:rPr>
      </w:pPr>
    </w:p>
    <w:p w14:paraId="35313D1C" w14:textId="77777777" w:rsidR="00022502" w:rsidRPr="00022502" w:rsidRDefault="00022502" w:rsidP="00022502">
      <w:pPr>
        <w:rPr>
          <w:lang w:val="ro-RO"/>
        </w:rPr>
      </w:pPr>
      <w:r w:rsidRPr="00022502">
        <w:rPr>
          <w:lang w:val="ro-RO"/>
        </w:rPr>
        <w:t>Comparația Europeană</w:t>
      </w:r>
    </w:p>
    <w:p w14:paraId="0908758D" w14:textId="52A698A7" w:rsidR="00F828CD" w:rsidRDefault="00022502" w:rsidP="00F828CD">
      <w:pPr>
        <w:rPr>
          <w:lang w:val="ro-RO"/>
        </w:rPr>
      </w:pPr>
      <w:r w:rsidRPr="00022502">
        <w:rPr>
          <w:lang w:val="ro-RO"/>
        </w:rPr>
        <w:t>România se situează pe penultimul loc în Uniunea Europeană la nivelul salariului minim, atât brut cât și net, depășind doar Bulgaria</w:t>
      </w:r>
      <w:r w:rsidR="0007412B">
        <w:rPr>
          <w:lang w:val="ro-RO"/>
        </w:rPr>
        <w:t>[7]</w:t>
      </w:r>
      <w:r w:rsidRPr="00022502">
        <w:rPr>
          <w:lang w:val="ro-RO"/>
        </w:rPr>
        <w:t>. Tabelul 2 revelă o schimbare dramatică în strategia României: în perioada 2014-2019, țara a înregistrat a doua cea mai mare creștere a salariului minim din UE (135%), fiind depășită doar de Lituania (92%), demonstrând o politică agresivă de recuperare a decalajelor. Situația s-a inversat în perioada 2019-2024, când România a avut o creștere de doar 49%, mult în spatele Poloniei (87%) și a altor țări est-europene, sugerând adoptarea unei abordări conservative care a dus la pierderea poziției relative. Figurile 2 și 3 confirmă că această politică conservatoare a menținut România în coada clasamentului european, în ciuda progreselor anterioare. Figura 4 demonstrează că ajustarea cu diferențele de prețuri nu îmbunătățește semnificativ poziția României, care rămâne la egalitate cu Ungaria și Letonia, dar în continuare în spatele Cehiei și Poloniei, indicând că problema nu este doar una de cost al vieții, ci de nivel absolut al veniturilor.</w:t>
      </w:r>
    </w:p>
    <w:p w14:paraId="2CAA5D03" w14:textId="77777777" w:rsidR="008938E8" w:rsidRDefault="008938E8" w:rsidP="00F828CD">
      <w:pPr>
        <w:rPr>
          <w:lang w:val="ro-RO"/>
        </w:rPr>
      </w:pPr>
    </w:p>
    <w:p w14:paraId="3E8C5DE6" w14:textId="385B9686" w:rsidR="008938E8" w:rsidRDefault="008938E8" w:rsidP="00F828CD">
      <w:pPr>
        <w:rPr>
          <w:lang w:val="ro-RO"/>
        </w:rPr>
      </w:pPr>
      <w:r w:rsidRPr="00022502">
        <w:rPr>
          <w:lang w:val="ro-RO"/>
        </w:rPr>
        <w:t>Tabelul 2. Evoluția salariului minim brut în țările UE, 2019 vs 2014 și 2024 vs 2019</w:t>
      </w:r>
    </w:p>
    <w:tbl>
      <w:tblPr>
        <w:tblW w:w="4910" w:type="dxa"/>
        <w:jc w:val="center"/>
        <w:tblLook w:val="04A0" w:firstRow="1" w:lastRow="0" w:firstColumn="1" w:lastColumn="0" w:noHBand="0" w:noVBand="1"/>
      </w:tblPr>
      <w:tblGrid>
        <w:gridCol w:w="1178"/>
        <w:gridCol w:w="942"/>
        <w:gridCol w:w="932"/>
        <w:gridCol w:w="926"/>
        <w:gridCol w:w="932"/>
      </w:tblGrid>
      <w:tr w:rsidR="0079254B" w:rsidRPr="0079254B" w14:paraId="35B64FD5" w14:textId="77777777" w:rsidTr="0079254B">
        <w:trPr>
          <w:trHeight w:val="315"/>
          <w:jc w:val="center"/>
        </w:trPr>
        <w:tc>
          <w:tcPr>
            <w:tcW w:w="11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D29E8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Țara</w:t>
            </w:r>
          </w:p>
        </w:tc>
        <w:tc>
          <w:tcPr>
            <w:tcW w:w="1874" w:type="dxa"/>
            <w:gridSpan w:val="2"/>
            <w:tcBorders>
              <w:top w:val="single" w:sz="8" w:space="0" w:color="auto"/>
              <w:left w:val="nil"/>
              <w:bottom w:val="single" w:sz="8" w:space="0" w:color="auto"/>
              <w:right w:val="single" w:sz="8" w:space="0" w:color="000000"/>
            </w:tcBorders>
            <w:shd w:val="clear" w:color="auto" w:fill="auto"/>
            <w:vAlign w:val="center"/>
            <w:hideMark/>
          </w:tcPr>
          <w:p w14:paraId="0618537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2019      vs  2014</w:t>
            </w:r>
          </w:p>
        </w:tc>
        <w:tc>
          <w:tcPr>
            <w:tcW w:w="1858" w:type="dxa"/>
            <w:gridSpan w:val="2"/>
            <w:tcBorders>
              <w:top w:val="single" w:sz="8" w:space="0" w:color="auto"/>
              <w:left w:val="nil"/>
              <w:bottom w:val="single" w:sz="8" w:space="0" w:color="auto"/>
              <w:right w:val="single" w:sz="8" w:space="0" w:color="000000"/>
            </w:tcBorders>
            <w:shd w:val="clear" w:color="auto" w:fill="auto"/>
            <w:vAlign w:val="center"/>
            <w:hideMark/>
          </w:tcPr>
          <w:p w14:paraId="6E4705C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2024     vs 2019</w:t>
            </w:r>
          </w:p>
        </w:tc>
      </w:tr>
      <w:tr w:rsidR="0079254B" w:rsidRPr="0079254B" w14:paraId="3B36D5CE" w14:textId="77777777" w:rsidTr="0079254B">
        <w:trPr>
          <w:trHeight w:val="315"/>
          <w:jc w:val="center"/>
        </w:trPr>
        <w:tc>
          <w:tcPr>
            <w:tcW w:w="1178" w:type="dxa"/>
            <w:vMerge/>
            <w:tcBorders>
              <w:top w:val="single" w:sz="8" w:space="0" w:color="auto"/>
              <w:left w:val="single" w:sz="8" w:space="0" w:color="auto"/>
              <w:bottom w:val="single" w:sz="8" w:space="0" w:color="000000"/>
              <w:right w:val="single" w:sz="8" w:space="0" w:color="auto"/>
            </w:tcBorders>
            <w:vAlign w:val="center"/>
            <w:hideMark/>
          </w:tcPr>
          <w:p w14:paraId="2E21676F"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p>
        </w:tc>
        <w:tc>
          <w:tcPr>
            <w:tcW w:w="942" w:type="dxa"/>
            <w:tcBorders>
              <w:top w:val="nil"/>
              <w:left w:val="nil"/>
              <w:bottom w:val="single" w:sz="8" w:space="0" w:color="auto"/>
              <w:right w:val="single" w:sz="8" w:space="0" w:color="auto"/>
            </w:tcBorders>
            <w:shd w:val="clear" w:color="auto" w:fill="auto"/>
            <w:vAlign w:val="center"/>
            <w:hideMark/>
          </w:tcPr>
          <w:p w14:paraId="5289EAF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w:t>
            </w:r>
          </w:p>
        </w:tc>
        <w:tc>
          <w:tcPr>
            <w:tcW w:w="931" w:type="dxa"/>
            <w:tcBorders>
              <w:top w:val="nil"/>
              <w:left w:val="nil"/>
              <w:bottom w:val="single" w:sz="8" w:space="0" w:color="auto"/>
              <w:right w:val="single" w:sz="8" w:space="0" w:color="auto"/>
            </w:tcBorders>
            <w:shd w:val="clear" w:color="auto" w:fill="auto"/>
            <w:vAlign w:val="center"/>
            <w:hideMark/>
          </w:tcPr>
          <w:p w14:paraId="1008A15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EUR</w:t>
            </w:r>
          </w:p>
        </w:tc>
        <w:tc>
          <w:tcPr>
            <w:tcW w:w="926" w:type="dxa"/>
            <w:tcBorders>
              <w:top w:val="nil"/>
              <w:left w:val="nil"/>
              <w:bottom w:val="single" w:sz="8" w:space="0" w:color="auto"/>
              <w:right w:val="single" w:sz="8" w:space="0" w:color="auto"/>
            </w:tcBorders>
            <w:shd w:val="clear" w:color="auto" w:fill="auto"/>
            <w:vAlign w:val="center"/>
            <w:hideMark/>
          </w:tcPr>
          <w:p w14:paraId="3622274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w:t>
            </w:r>
          </w:p>
        </w:tc>
        <w:tc>
          <w:tcPr>
            <w:tcW w:w="931" w:type="dxa"/>
            <w:tcBorders>
              <w:top w:val="nil"/>
              <w:left w:val="nil"/>
              <w:bottom w:val="single" w:sz="8" w:space="0" w:color="auto"/>
              <w:right w:val="single" w:sz="8" w:space="0" w:color="auto"/>
            </w:tcBorders>
            <w:shd w:val="clear" w:color="auto" w:fill="auto"/>
            <w:vAlign w:val="center"/>
            <w:hideMark/>
          </w:tcPr>
          <w:p w14:paraId="574989C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EUR</w:t>
            </w:r>
          </w:p>
        </w:tc>
      </w:tr>
      <w:tr w:rsidR="0079254B" w:rsidRPr="0079254B" w14:paraId="33D07432"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41B5231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Polonia</w:t>
            </w:r>
          </w:p>
        </w:tc>
        <w:tc>
          <w:tcPr>
            <w:tcW w:w="942" w:type="dxa"/>
            <w:tcBorders>
              <w:top w:val="nil"/>
              <w:left w:val="nil"/>
              <w:bottom w:val="single" w:sz="8" w:space="0" w:color="auto"/>
              <w:right w:val="single" w:sz="8" w:space="0" w:color="auto"/>
            </w:tcBorders>
            <w:shd w:val="clear" w:color="auto" w:fill="auto"/>
            <w:vAlign w:val="center"/>
            <w:hideMark/>
          </w:tcPr>
          <w:p w14:paraId="5D11033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29%</w:t>
            </w:r>
          </w:p>
        </w:tc>
        <w:tc>
          <w:tcPr>
            <w:tcW w:w="931" w:type="dxa"/>
            <w:tcBorders>
              <w:top w:val="nil"/>
              <w:left w:val="nil"/>
              <w:bottom w:val="single" w:sz="8" w:space="0" w:color="auto"/>
              <w:right w:val="single" w:sz="8" w:space="0" w:color="auto"/>
            </w:tcBorders>
            <w:shd w:val="clear" w:color="auto" w:fill="auto"/>
            <w:vAlign w:val="center"/>
            <w:hideMark/>
          </w:tcPr>
          <w:p w14:paraId="70B58CE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119</w:t>
            </w:r>
          </w:p>
        </w:tc>
        <w:tc>
          <w:tcPr>
            <w:tcW w:w="926" w:type="dxa"/>
            <w:tcBorders>
              <w:top w:val="nil"/>
              <w:left w:val="nil"/>
              <w:bottom w:val="single" w:sz="8" w:space="0" w:color="auto"/>
              <w:right w:val="single" w:sz="8" w:space="0" w:color="auto"/>
            </w:tcBorders>
            <w:shd w:val="clear" w:color="auto" w:fill="auto"/>
            <w:vAlign w:val="center"/>
            <w:hideMark/>
          </w:tcPr>
          <w:p w14:paraId="7FEC5D8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87%</w:t>
            </w:r>
          </w:p>
        </w:tc>
        <w:tc>
          <w:tcPr>
            <w:tcW w:w="931" w:type="dxa"/>
            <w:tcBorders>
              <w:top w:val="nil"/>
              <w:left w:val="nil"/>
              <w:bottom w:val="single" w:sz="8" w:space="0" w:color="auto"/>
              <w:right w:val="single" w:sz="8" w:space="0" w:color="auto"/>
            </w:tcBorders>
            <w:shd w:val="clear" w:color="auto" w:fill="auto"/>
            <w:vAlign w:val="center"/>
            <w:hideMark/>
          </w:tcPr>
          <w:p w14:paraId="29CCE09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454</w:t>
            </w:r>
          </w:p>
        </w:tc>
      </w:tr>
      <w:tr w:rsidR="0079254B" w:rsidRPr="0079254B" w14:paraId="2C831034"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5F06614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Bulgaria</w:t>
            </w:r>
          </w:p>
        </w:tc>
        <w:tc>
          <w:tcPr>
            <w:tcW w:w="942" w:type="dxa"/>
            <w:tcBorders>
              <w:top w:val="nil"/>
              <w:left w:val="nil"/>
              <w:bottom w:val="single" w:sz="8" w:space="0" w:color="auto"/>
              <w:right w:val="single" w:sz="8" w:space="0" w:color="auto"/>
            </w:tcBorders>
            <w:shd w:val="clear" w:color="auto" w:fill="auto"/>
            <w:vAlign w:val="center"/>
            <w:hideMark/>
          </w:tcPr>
          <w:p w14:paraId="12CDD23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65%</w:t>
            </w:r>
          </w:p>
        </w:tc>
        <w:tc>
          <w:tcPr>
            <w:tcW w:w="931" w:type="dxa"/>
            <w:tcBorders>
              <w:top w:val="nil"/>
              <w:left w:val="nil"/>
              <w:bottom w:val="single" w:sz="8" w:space="0" w:color="auto"/>
              <w:right w:val="single" w:sz="8" w:space="0" w:color="auto"/>
            </w:tcBorders>
            <w:shd w:val="clear" w:color="auto" w:fill="auto"/>
            <w:vAlign w:val="center"/>
            <w:hideMark/>
          </w:tcPr>
          <w:p w14:paraId="7D05FBB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112</w:t>
            </w:r>
          </w:p>
        </w:tc>
        <w:tc>
          <w:tcPr>
            <w:tcW w:w="926" w:type="dxa"/>
            <w:tcBorders>
              <w:top w:val="nil"/>
              <w:left w:val="nil"/>
              <w:bottom w:val="single" w:sz="8" w:space="0" w:color="auto"/>
              <w:right w:val="single" w:sz="8" w:space="0" w:color="auto"/>
            </w:tcBorders>
            <w:shd w:val="clear" w:color="auto" w:fill="auto"/>
            <w:vAlign w:val="center"/>
            <w:hideMark/>
          </w:tcPr>
          <w:p w14:paraId="6995973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67%</w:t>
            </w:r>
          </w:p>
        </w:tc>
        <w:tc>
          <w:tcPr>
            <w:tcW w:w="931" w:type="dxa"/>
            <w:tcBorders>
              <w:top w:val="nil"/>
              <w:left w:val="nil"/>
              <w:bottom w:val="single" w:sz="8" w:space="0" w:color="auto"/>
              <w:right w:val="single" w:sz="8" w:space="0" w:color="auto"/>
            </w:tcBorders>
            <w:shd w:val="clear" w:color="auto" w:fill="auto"/>
            <w:vAlign w:val="center"/>
            <w:hideMark/>
          </w:tcPr>
          <w:p w14:paraId="2AD79BD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191</w:t>
            </w:r>
          </w:p>
        </w:tc>
      </w:tr>
      <w:tr w:rsidR="0079254B" w:rsidRPr="0079254B" w14:paraId="37AA88E5"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3B11671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Lituania</w:t>
            </w:r>
          </w:p>
        </w:tc>
        <w:tc>
          <w:tcPr>
            <w:tcW w:w="942" w:type="dxa"/>
            <w:tcBorders>
              <w:top w:val="nil"/>
              <w:left w:val="nil"/>
              <w:bottom w:val="single" w:sz="8" w:space="0" w:color="auto"/>
              <w:right w:val="single" w:sz="8" w:space="0" w:color="auto"/>
            </w:tcBorders>
            <w:shd w:val="clear" w:color="auto" w:fill="auto"/>
            <w:vAlign w:val="center"/>
            <w:hideMark/>
          </w:tcPr>
          <w:p w14:paraId="25ACD32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92%</w:t>
            </w:r>
          </w:p>
        </w:tc>
        <w:tc>
          <w:tcPr>
            <w:tcW w:w="931" w:type="dxa"/>
            <w:tcBorders>
              <w:top w:val="nil"/>
              <w:left w:val="nil"/>
              <w:bottom w:val="single" w:sz="8" w:space="0" w:color="auto"/>
              <w:right w:val="single" w:sz="8" w:space="0" w:color="auto"/>
            </w:tcBorders>
            <w:shd w:val="clear" w:color="auto" w:fill="auto"/>
            <w:vAlign w:val="center"/>
            <w:hideMark/>
          </w:tcPr>
          <w:p w14:paraId="722CFA9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265</w:t>
            </w:r>
          </w:p>
        </w:tc>
        <w:tc>
          <w:tcPr>
            <w:tcW w:w="926" w:type="dxa"/>
            <w:tcBorders>
              <w:top w:val="nil"/>
              <w:left w:val="nil"/>
              <w:bottom w:val="single" w:sz="8" w:space="0" w:color="auto"/>
              <w:right w:val="single" w:sz="8" w:space="0" w:color="auto"/>
            </w:tcBorders>
            <w:shd w:val="clear" w:color="auto" w:fill="auto"/>
            <w:vAlign w:val="center"/>
            <w:hideMark/>
          </w:tcPr>
          <w:p w14:paraId="4296965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66%</w:t>
            </w:r>
          </w:p>
        </w:tc>
        <w:tc>
          <w:tcPr>
            <w:tcW w:w="931" w:type="dxa"/>
            <w:tcBorders>
              <w:top w:val="nil"/>
              <w:left w:val="nil"/>
              <w:bottom w:val="single" w:sz="8" w:space="0" w:color="auto"/>
              <w:right w:val="single" w:sz="8" w:space="0" w:color="auto"/>
            </w:tcBorders>
            <w:shd w:val="clear" w:color="auto" w:fill="auto"/>
            <w:vAlign w:val="center"/>
            <w:hideMark/>
          </w:tcPr>
          <w:p w14:paraId="2612BB5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369</w:t>
            </w:r>
          </w:p>
        </w:tc>
      </w:tr>
      <w:tr w:rsidR="0079254B" w:rsidRPr="0079254B" w14:paraId="79FEED7A"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2452962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Croația</w:t>
            </w:r>
          </w:p>
        </w:tc>
        <w:tc>
          <w:tcPr>
            <w:tcW w:w="942" w:type="dxa"/>
            <w:tcBorders>
              <w:top w:val="nil"/>
              <w:left w:val="nil"/>
              <w:bottom w:val="single" w:sz="8" w:space="0" w:color="auto"/>
              <w:right w:val="single" w:sz="8" w:space="0" w:color="auto"/>
            </w:tcBorders>
            <w:shd w:val="clear" w:color="auto" w:fill="auto"/>
            <w:vAlign w:val="center"/>
            <w:hideMark/>
          </w:tcPr>
          <w:p w14:paraId="0F58262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28%</w:t>
            </w:r>
          </w:p>
        </w:tc>
        <w:tc>
          <w:tcPr>
            <w:tcW w:w="931" w:type="dxa"/>
            <w:tcBorders>
              <w:top w:val="nil"/>
              <w:left w:val="nil"/>
              <w:bottom w:val="single" w:sz="8" w:space="0" w:color="auto"/>
              <w:right w:val="single" w:sz="8" w:space="0" w:color="auto"/>
            </w:tcBorders>
            <w:shd w:val="clear" w:color="auto" w:fill="auto"/>
            <w:vAlign w:val="center"/>
            <w:hideMark/>
          </w:tcPr>
          <w:p w14:paraId="43BC459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110</w:t>
            </w:r>
          </w:p>
        </w:tc>
        <w:tc>
          <w:tcPr>
            <w:tcW w:w="926" w:type="dxa"/>
            <w:tcBorders>
              <w:top w:val="nil"/>
              <w:left w:val="nil"/>
              <w:bottom w:val="single" w:sz="8" w:space="0" w:color="auto"/>
              <w:right w:val="single" w:sz="8" w:space="0" w:color="auto"/>
            </w:tcBorders>
            <w:shd w:val="clear" w:color="auto" w:fill="auto"/>
            <w:vAlign w:val="center"/>
            <w:hideMark/>
          </w:tcPr>
          <w:p w14:paraId="28C5834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66%</w:t>
            </w:r>
          </w:p>
        </w:tc>
        <w:tc>
          <w:tcPr>
            <w:tcW w:w="931" w:type="dxa"/>
            <w:tcBorders>
              <w:top w:val="nil"/>
              <w:left w:val="nil"/>
              <w:bottom w:val="single" w:sz="8" w:space="0" w:color="auto"/>
              <w:right w:val="single" w:sz="8" w:space="0" w:color="auto"/>
            </w:tcBorders>
            <w:shd w:val="clear" w:color="auto" w:fill="auto"/>
            <w:vAlign w:val="center"/>
            <w:hideMark/>
          </w:tcPr>
          <w:p w14:paraId="3C49E5B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334</w:t>
            </w:r>
          </w:p>
        </w:tc>
      </w:tr>
      <w:tr w:rsidR="0079254B" w:rsidRPr="0079254B" w14:paraId="423AADFC"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43E96A8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Letonia</w:t>
            </w:r>
          </w:p>
        </w:tc>
        <w:tc>
          <w:tcPr>
            <w:tcW w:w="942" w:type="dxa"/>
            <w:tcBorders>
              <w:top w:val="nil"/>
              <w:left w:val="nil"/>
              <w:bottom w:val="single" w:sz="8" w:space="0" w:color="auto"/>
              <w:right w:val="single" w:sz="8" w:space="0" w:color="auto"/>
            </w:tcBorders>
            <w:shd w:val="clear" w:color="auto" w:fill="auto"/>
            <w:vAlign w:val="center"/>
            <w:hideMark/>
          </w:tcPr>
          <w:p w14:paraId="6CA813E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34%</w:t>
            </w:r>
          </w:p>
        </w:tc>
        <w:tc>
          <w:tcPr>
            <w:tcW w:w="931" w:type="dxa"/>
            <w:tcBorders>
              <w:top w:val="nil"/>
              <w:left w:val="nil"/>
              <w:bottom w:val="single" w:sz="8" w:space="0" w:color="auto"/>
              <w:right w:val="single" w:sz="8" w:space="0" w:color="auto"/>
            </w:tcBorders>
            <w:shd w:val="clear" w:color="auto" w:fill="auto"/>
            <w:vAlign w:val="center"/>
            <w:hideMark/>
          </w:tcPr>
          <w:p w14:paraId="07108FD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110</w:t>
            </w:r>
          </w:p>
        </w:tc>
        <w:tc>
          <w:tcPr>
            <w:tcW w:w="926" w:type="dxa"/>
            <w:tcBorders>
              <w:top w:val="nil"/>
              <w:left w:val="nil"/>
              <w:bottom w:val="single" w:sz="8" w:space="0" w:color="auto"/>
              <w:right w:val="single" w:sz="8" w:space="0" w:color="auto"/>
            </w:tcBorders>
            <w:shd w:val="clear" w:color="auto" w:fill="auto"/>
            <w:vAlign w:val="center"/>
            <w:hideMark/>
          </w:tcPr>
          <w:p w14:paraId="216AD59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63%</w:t>
            </w:r>
          </w:p>
        </w:tc>
        <w:tc>
          <w:tcPr>
            <w:tcW w:w="931" w:type="dxa"/>
            <w:tcBorders>
              <w:top w:val="nil"/>
              <w:left w:val="nil"/>
              <w:bottom w:val="single" w:sz="8" w:space="0" w:color="auto"/>
              <w:right w:val="single" w:sz="8" w:space="0" w:color="auto"/>
            </w:tcBorders>
            <w:shd w:val="clear" w:color="auto" w:fill="auto"/>
            <w:vAlign w:val="center"/>
            <w:hideMark/>
          </w:tcPr>
          <w:p w14:paraId="1A90DB5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270</w:t>
            </w:r>
          </w:p>
        </w:tc>
      </w:tr>
      <w:tr w:rsidR="0079254B" w:rsidRPr="0079254B" w14:paraId="1F52A057"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6031642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Estonia </w:t>
            </w:r>
          </w:p>
        </w:tc>
        <w:tc>
          <w:tcPr>
            <w:tcW w:w="942" w:type="dxa"/>
            <w:tcBorders>
              <w:top w:val="nil"/>
              <w:left w:val="nil"/>
              <w:bottom w:val="single" w:sz="8" w:space="0" w:color="auto"/>
              <w:right w:val="single" w:sz="8" w:space="0" w:color="auto"/>
            </w:tcBorders>
            <w:shd w:val="clear" w:color="auto" w:fill="auto"/>
            <w:vAlign w:val="center"/>
            <w:hideMark/>
          </w:tcPr>
          <w:p w14:paraId="61DD051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52%</w:t>
            </w:r>
          </w:p>
        </w:tc>
        <w:tc>
          <w:tcPr>
            <w:tcW w:w="931" w:type="dxa"/>
            <w:tcBorders>
              <w:top w:val="nil"/>
              <w:left w:val="nil"/>
              <w:bottom w:val="single" w:sz="8" w:space="0" w:color="auto"/>
              <w:right w:val="single" w:sz="8" w:space="0" w:color="auto"/>
            </w:tcBorders>
            <w:shd w:val="clear" w:color="auto" w:fill="auto"/>
            <w:vAlign w:val="center"/>
            <w:hideMark/>
          </w:tcPr>
          <w:p w14:paraId="7718142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185</w:t>
            </w:r>
          </w:p>
        </w:tc>
        <w:tc>
          <w:tcPr>
            <w:tcW w:w="926" w:type="dxa"/>
            <w:tcBorders>
              <w:top w:val="nil"/>
              <w:left w:val="nil"/>
              <w:bottom w:val="single" w:sz="8" w:space="0" w:color="auto"/>
              <w:right w:val="single" w:sz="8" w:space="0" w:color="auto"/>
            </w:tcBorders>
            <w:shd w:val="clear" w:color="auto" w:fill="auto"/>
            <w:vAlign w:val="center"/>
            <w:hideMark/>
          </w:tcPr>
          <w:p w14:paraId="71CAC24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52%</w:t>
            </w:r>
          </w:p>
        </w:tc>
        <w:tc>
          <w:tcPr>
            <w:tcW w:w="931" w:type="dxa"/>
            <w:tcBorders>
              <w:top w:val="nil"/>
              <w:left w:val="nil"/>
              <w:bottom w:val="single" w:sz="8" w:space="0" w:color="auto"/>
              <w:right w:val="single" w:sz="8" w:space="0" w:color="auto"/>
            </w:tcBorders>
            <w:shd w:val="clear" w:color="auto" w:fill="auto"/>
            <w:vAlign w:val="center"/>
            <w:hideMark/>
          </w:tcPr>
          <w:p w14:paraId="0A8B5BEF"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280</w:t>
            </w:r>
          </w:p>
        </w:tc>
      </w:tr>
      <w:tr w:rsidR="0079254B" w:rsidRPr="0079254B" w14:paraId="5DAD95A4"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3FDDEC2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Ungaria</w:t>
            </w:r>
          </w:p>
        </w:tc>
        <w:tc>
          <w:tcPr>
            <w:tcW w:w="942" w:type="dxa"/>
            <w:tcBorders>
              <w:top w:val="nil"/>
              <w:left w:val="nil"/>
              <w:bottom w:val="single" w:sz="8" w:space="0" w:color="auto"/>
              <w:right w:val="single" w:sz="8" w:space="0" w:color="auto"/>
            </w:tcBorders>
            <w:shd w:val="clear" w:color="auto" w:fill="auto"/>
            <w:vAlign w:val="center"/>
            <w:hideMark/>
          </w:tcPr>
          <w:p w14:paraId="3FB9064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36%</w:t>
            </w:r>
          </w:p>
        </w:tc>
        <w:tc>
          <w:tcPr>
            <w:tcW w:w="931" w:type="dxa"/>
            <w:tcBorders>
              <w:top w:val="nil"/>
              <w:left w:val="nil"/>
              <w:bottom w:val="single" w:sz="8" w:space="0" w:color="auto"/>
              <w:right w:val="single" w:sz="8" w:space="0" w:color="auto"/>
            </w:tcBorders>
            <w:shd w:val="clear" w:color="auto" w:fill="auto"/>
            <w:vAlign w:val="center"/>
            <w:hideMark/>
          </w:tcPr>
          <w:p w14:paraId="3833C76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123</w:t>
            </w:r>
          </w:p>
        </w:tc>
        <w:tc>
          <w:tcPr>
            <w:tcW w:w="926" w:type="dxa"/>
            <w:tcBorders>
              <w:top w:val="nil"/>
              <w:left w:val="nil"/>
              <w:bottom w:val="single" w:sz="8" w:space="0" w:color="auto"/>
              <w:right w:val="single" w:sz="8" w:space="0" w:color="auto"/>
            </w:tcBorders>
            <w:shd w:val="clear" w:color="auto" w:fill="auto"/>
            <w:vAlign w:val="center"/>
            <w:hideMark/>
          </w:tcPr>
          <w:p w14:paraId="3574EDC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50%</w:t>
            </w:r>
          </w:p>
        </w:tc>
        <w:tc>
          <w:tcPr>
            <w:tcW w:w="931" w:type="dxa"/>
            <w:tcBorders>
              <w:top w:val="nil"/>
              <w:left w:val="nil"/>
              <w:bottom w:val="single" w:sz="8" w:space="0" w:color="auto"/>
              <w:right w:val="single" w:sz="8" w:space="0" w:color="auto"/>
            </w:tcBorders>
            <w:shd w:val="clear" w:color="auto" w:fill="auto"/>
            <w:vAlign w:val="center"/>
            <w:hideMark/>
          </w:tcPr>
          <w:p w14:paraId="61D2590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233</w:t>
            </w:r>
          </w:p>
        </w:tc>
      </w:tr>
      <w:tr w:rsidR="0079254B" w:rsidRPr="0079254B" w14:paraId="54B41F28"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67528E5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România</w:t>
            </w:r>
          </w:p>
        </w:tc>
        <w:tc>
          <w:tcPr>
            <w:tcW w:w="942" w:type="dxa"/>
            <w:tcBorders>
              <w:top w:val="nil"/>
              <w:left w:val="nil"/>
              <w:bottom w:val="single" w:sz="8" w:space="0" w:color="auto"/>
              <w:right w:val="single" w:sz="8" w:space="0" w:color="auto"/>
            </w:tcBorders>
            <w:shd w:val="clear" w:color="auto" w:fill="auto"/>
            <w:vAlign w:val="center"/>
            <w:hideMark/>
          </w:tcPr>
          <w:p w14:paraId="652B90A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135%</w:t>
            </w:r>
          </w:p>
        </w:tc>
        <w:tc>
          <w:tcPr>
            <w:tcW w:w="931" w:type="dxa"/>
            <w:tcBorders>
              <w:top w:val="nil"/>
              <w:left w:val="nil"/>
              <w:bottom w:val="single" w:sz="8" w:space="0" w:color="auto"/>
              <w:right w:val="single" w:sz="8" w:space="0" w:color="auto"/>
            </w:tcBorders>
            <w:shd w:val="clear" w:color="auto" w:fill="auto"/>
            <w:vAlign w:val="center"/>
            <w:hideMark/>
          </w:tcPr>
          <w:p w14:paraId="5359F3F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256</w:t>
            </w:r>
          </w:p>
        </w:tc>
        <w:tc>
          <w:tcPr>
            <w:tcW w:w="926" w:type="dxa"/>
            <w:tcBorders>
              <w:top w:val="nil"/>
              <w:left w:val="nil"/>
              <w:bottom w:val="single" w:sz="8" w:space="0" w:color="auto"/>
              <w:right w:val="single" w:sz="8" w:space="0" w:color="auto"/>
            </w:tcBorders>
            <w:shd w:val="clear" w:color="auto" w:fill="auto"/>
            <w:vAlign w:val="center"/>
            <w:hideMark/>
          </w:tcPr>
          <w:p w14:paraId="3CF24B7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49%</w:t>
            </w:r>
          </w:p>
        </w:tc>
        <w:tc>
          <w:tcPr>
            <w:tcW w:w="931" w:type="dxa"/>
            <w:tcBorders>
              <w:top w:val="nil"/>
              <w:left w:val="nil"/>
              <w:bottom w:val="single" w:sz="8" w:space="0" w:color="auto"/>
              <w:right w:val="single" w:sz="8" w:space="0" w:color="auto"/>
            </w:tcBorders>
            <w:shd w:val="clear" w:color="auto" w:fill="auto"/>
            <w:vAlign w:val="center"/>
            <w:hideMark/>
          </w:tcPr>
          <w:p w14:paraId="3646C9AF"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217</w:t>
            </w:r>
          </w:p>
        </w:tc>
      </w:tr>
      <w:tr w:rsidR="0079254B" w:rsidRPr="0079254B" w14:paraId="319FF85F"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1D1C208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Cehia</w:t>
            </w:r>
          </w:p>
        </w:tc>
        <w:tc>
          <w:tcPr>
            <w:tcW w:w="942" w:type="dxa"/>
            <w:tcBorders>
              <w:top w:val="nil"/>
              <w:left w:val="nil"/>
              <w:bottom w:val="single" w:sz="8" w:space="0" w:color="auto"/>
              <w:right w:val="single" w:sz="8" w:space="0" w:color="auto"/>
            </w:tcBorders>
            <w:shd w:val="clear" w:color="auto" w:fill="auto"/>
            <w:vAlign w:val="center"/>
            <w:hideMark/>
          </w:tcPr>
          <w:p w14:paraId="5B19344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67%</w:t>
            </w:r>
          </w:p>
        </w:tc>
        <w:tc>
          <w:tcPr>
            <w:tcW w:w="931" w:type="dxa"/>
            <w:tcBorders>
              <w:top w:val="nil"/>
              <w:left w:val="nil"/>
              <w:bottom w:val="single" w:sz="8" w:space="0" w:color="auto"/>
              <w:right w:val="single" w:sz="8" w:space="0" w:color="auto"/>
            </w:tcBorders>
            <w:shd w:val="clear" w:color="auto" w:fill="auto"/>
            <w:vAlign w:val="center"/>
            <w:hideMark/>
          </w:tcPr>
          <w:p w14:paraId="70F6B7E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209</w:t>
            </w:r>
          </w:p>
        </w:tc>
        <w:tc>
          <w:tcPr>
            <w:tcW w:w="926" w:type="dxa"/>
            <w:tcBorders>
              <w:top w:val="nil"/>
              <w:left w:val="nil"/>
              <w:bottom w:val="single" w:sz="8" w:space="0" w:color="auto"/>
              <w:right w:val="single" w:sz="8" w:space="0" w:color="auto"/>
            </w:tcBorders>
            <w:shd w:val="clear" w:color="auto" w:fill="auto"/>
            <w:vAlign w:val="center"/>
            <w:hideMark/>
          </w:tcPr>
          <w:p w14:paraId="43FA9A7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47%</w:t>
            </w:r>
          </w:p>
        </w:tc>
        <w:tc>
          <w:tcPr>
            <w:tcW w:w="931" w:type="dxa"/>
            <w:tcBorders>
              <w:top w:val="nil"/>
              <w:left w:val="nil"/>
              <w:bottom w:val="single" w:sz="8" w:space="0" w:color="auto"/>
              <w:right w:val="single" w:sz="8" w:space="0" w:color="auto"/>
            </w:tcBorders>
            <w:shd w:val="clear" w:color="auto" w:fill="auto"/>
            <w:vAlign w:val="center"/>
            <w:hideMark/>
          </w:tcPr>
          <w:p w14:paraId="0003ECC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245</w:t>
            </w:r>
          </w:p>
        </w:tc>
      </w:tr>
      <w:tr w:rsidR="0079254B" w:rsidRPr="0079254B" w14:paraId="46441C94"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6108191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Slovacia</w:t>
            </w:r>
          </w:p>
        </w:tc>
        <w:tc>
          <w:tcPr>
            <w:tcW w:w="942" w:type="dxa"/>
            <w:tcBorders>
              <w:top w:val="nil"/>
              <w:left w:val="nil"/>
              <w:bottom w:val="single" w:sz="8" w:space="0" w:color="auto"/>
              <w:right w:val="single" w:sz="8" w:space="0" w:color="auto"/>
            </w:tcBorders>
            <w:shd w:val="clear" w:color="auto" w:fill="auto"/>
            <w:vAlign w:val="center"/>
            <w:hideMark/>
          </w:tcPr>
          <w:p w14:paraId="0EB6B6E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48%</w:t>
            </w:r>
          </w:p>
        </w:tc>
        <w:tc>
          <w:tcPr>
            <w:tcW w:w="931" w:type="dxa"/>
            <w:tcBorders>
              <w:top w:val="nil"/>
              <w:left w:val="nil"/>
              <w:bottom w:val="single" w:sz="8" w:space="0" w:color="auto"/>
              <w:right w:val="single" w:sz="8" w:space="0" w:color="auto"/>
            </w:tcBorders>
            <w:shd w:val="clear" w:color="auto" w:fill="auto"/>
            <w:vAlign w:val="center"/>
            <w:hideMark/>
          </w:tcPr>
          <w:p w14:paraId="129442C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168</w:t>
            </w:r>
          </w:p>
        </w:tc>
        <w:tc>
          <w:tcPr>
            <w:tcW w:w="926" w:type="dxa"/>
            <w:tcBorders>
              <w:top w:val="nil"/>
              <w:left w:val="nil"/>
              <w:bottom w:val="single" w:sz="8" w:space="0" w:color="auto"/>
              <w:right w:val="single" w:sz="8" w:space="0" w:color="auto"/>
            </w:tcBorders>
            <w:shd w:val="clear" w:color="auto" w:fill="auto"/>
            <w:vAlign w:val="center"/>
            <w:hideMark/>
          </w:tcPr>
          <w:p w14:paraId="5CD23A8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44%</w:t>
            </w:r>
          </w:p>
        </w:tc>
        <w:tc>
          <w:tcPr>
            <w:tcW w:w="931" w:type="dxa"/>
            <w:tcBorders>
              <w:top w:val="nil"/>
              <w:left w:val="nil"/>
              <w:bottom w:val="single" w:sz="8" w:space="0" w:color="auto"/>
              <w:right w:val="single" w:sz="8" w:space="0" w:color="auto"/>
            </w:tcBorders>
            <w:shd w:val="clear" w:color="auto" w:fill="auto"/>
            <w:vAlign w:val="center"/>
            <w:hideMark/>
          </w:tcPr>
          <w:p w14:paraId="081C71B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230</w:t>
            </w:r>
          </w:p>
        </w:tc>
      </w:tr>
      <w:tr w:rsidR="0079254B" w:rsidRPr="0079254B" w14:paraId="4395B12A"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3E09271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Slovenia</w:t>
            </w:r>
          </w:p>
        </w:tc>
        <w:tc>
          <w:tcPr>
            <w:tcW w:w="942" w:type="dxa"/>
            <w:tcBorders>
              <w:top w:val="nil"/>
              <w:left w:val="nil"/>
              <w:bottom w:val="single" w:sz="8" w:space="0" w:color="auto"/>
              <w:right w:val="single" w:sz="8" w:space="0" w:color="auto"/>
            </w:tcBorders>
            <w:shd w:val="clear" w:color="auto" w:fill="auto"/>
            <w:vAlign w:val="center"/>
            <w:hideMark/>
          </w:tcPr>
          <w:p w14:paraId="002D889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12%</w:t>
            </w:r>
          </w:p>
        </w:tc>
        <w:tc>
          <w:tcPr>
            <w:tcW w:w="931" w:type="dxa"/>
            <w:tcBorders>
              <w:top w:val="nil"/>
              <w:left w:val="nil"/>
              <w:bottom w:val="single" w:sz="8" w:space="0" w:color="auto"/>
              <w:right w:val="single" w:sz="8" w:space="0" w:color="auto"/>
            </w:tcBorders>
            <w:shd w:val="clear" w:color="auto" w:fill="auto"/>
            <w:vAlign w:val="center"/>
            <w:hideMark/>
          </w:tcPr>
          <w:p w14:paraId="6DDD6CD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97</w:t>
            </w:r>
          </w:p>
        </w:tc>
        <w:tc>
          <w:tcPr>
            <w:tcW w:w="926" w:type="dxa"/>
            <w:tcBorders>
              <w:top w:val="nil"/>
              <w:left w:val="nil"/>
              <w:bottom w:val="single" w:sz="8" w:space="0" w:color="auto"/>
              <w:right w:val="single" w:sz="8" w:space="0" w:color="auto"/>
            </w:tcBorders>
            <w:shd w:val="clear" w:color="auto" w:fill="auto"/>
            <w:vAlign w:val="center"/>
            <w:hideMark/>
          </w:tcPr>
          <w:p w14:paraId="62A503C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41%</w:t>
            </w:r>
          </w:p>
        </w:tc>
        <w:tc>
          <w:tcPr>
            <w:tcW w:w="931" w:type="dxa"/>
            <w:tcBorders>
              <w:top w:val="nil"/>
              <w:left w:val="nil"/>
              <w:bottom w:val="single" w:sz="8" w:space="0" w:color="auto"/>
              <w:right w:val="single" w:sz="8" w:space="0" w:color="auto"/>
            </w:tcBorders>
            <w:shd w:val="clear" w:color="auto" w:fill="auto"/>
            <w:vAlign w:val="center"/>
            <w:hideMark/>
          </w:tcPr>
          <w:p w14:paraId="6F8E5D1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367</w:t>
            </w:r>
          </w:p>
        </w:tc>
      </w:tr>
      <w:tr w:rsidR="0079254B" w:rsidRPr="0079254B" w14:paraId="26BE15D2"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60BA7D7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Portugalia</w:t>
            </w:r>
          </w:p>
        </w:tc>
        <w:tc>
          <w:tcPr>
            <w:tcW w:w="942" w:type="dxa"/>
            <w:tcBorders>
              <w:top w:val="nil"/>
              <w:left w:val="nil"/>
              <w:bottom w:val="single" w:sz="8" w:space="0" w:color="auto"/>
              <w:right w:val="single" w:sz="8" w:space="0" w:color="auto"/>
            </w:tcBorders>
            <w:shd w:val="clear" w:color="auto" w:fill="auto"/>
            <w:vAlign w:val="center"/>
            <w:hideMark/>
          </w:tcPr>
          <w:p w14:paraId="6D6CE71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24%</w:t>
            </w:r>
          </w:p>
        </w:tc>
        <w:tc>
          <w:tcPr>
            <w:tcW w:w="931" w:type="dxa"/>
            <w:tcBorders>
              <w:top w:val="nil"/>
              <w:left w:val="nil"/>
              <w:bottom w:val="single" w:sz="8" w:space="0" w:color="auto"/>
              <w:right w:val="single" w:sz="8" w:space="0" w:color="auto"/>
            </w:tcBorders>
            <w:shd w:val="clear" w:color="auto" w:fill="auto"/>
            <w:vAlign w:val="center"/>
            <w:hideMark/>
          </w:tcPr>
          <w:p w14:paraId="05EA76E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134</w:t>
            </w:r>
          </w:p>
        </w:tc>
        <w:tc>
          <w:tcPr>
            <w:tcW w:w="926" w:type="dxa"/>
            <w:tcBorders>
              <w:top w:val="nil"/>
              <w:left w:val="nil"/>
              <w:bottom w:val="single" w:sz="8" w:space="0" w:color="auto"/>
              <w:right w:val="single" w:sz="8" w:space="0" w:color="auto"/>
            </w:tcBorders>
            <w:shd w:val="clear" w:color="auto" w:fill="auto"/>
            <w:vAlign w:val="center"/>
            <w:hideMark/>
          </w:tcPr>
          <w:p w14:paraId="0EDF9CF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37%</w:t>
            </w:r>
          </w:p>
        </w:tc>
        <w:tc>
          <w:tcPr>
            <w:tcW w:w="931" w:type="dxa"/>
            <w:tcBorders>
              <w:top w:val="nil"/>
              <w:left w:val="nil"/>
              <w:bottom w:val="single" w:sz="8" w:space="0" w:color="auto"/>
              <w:right w:val="single" w:sz="8" w:space="0" w:color="auto"/>
            </w:tcBorders>
            <w:shd w:val="clear" w:color="auto" w:fill="auto"/>
            <w:vAlign w:val="center"/>
            <w:hideMark/>
          </w:tcPr>
          <w:p w14:paraId="3396441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257</w:t>
            </w:r>
          </w:p>
        </w:tc>
      </w:tr>
      <w:tr w:rsidR="0079254B" w:rsidRPr="0079254B" w14:paraId="3110CA23"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6557E45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Grecia</w:t>
            </w:r>
          </w:p>
        </w:tc>
        <w:tc>
          <w:tcPr>
            <w:tcW w:w="942" w:type="dxa"/>
            <w:tcBorders>
              <w:top w:val="nil"/>
              <w:left w:val="nil"/>
              <w:bottom w:val="single" w:sz="8" w:space="0" w:color="auto"/>
              <w:right w:val="single" w:sz="8" w:space="0" w:color="auto"/>
            </w:tcBorders>
            <w:shd w:val="clear" w:color="auto" w:fill="auto"/>
            <w:vAlign w:val="center"/>
            <w:hideMark/>
          </w:tcPr>
          <w:p w14:paraId="77E0C42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0%</w:t>
            </w:r>
          </w:p>
        </w:tc>
        <w:tc>
          <w:tcPr>
            <w:tcW w:w="931" w:type="dxa"/>
            <w:tcBorders>
              <w:top w:val="nil"/>
              <w:left w:val="nil"/>
              <w:bottom w:val="single" w:sz="8" w:space="0" w:color="auto"/>
              <w:right w:val="single" w:sz="8" w:space="0" w:color="auto"/>
            </w:tcBorders>
            <w:shd w:val="clear" w:color="auto" w:fill="auto"/>
            <w:vAlign w:val="center"/>
            <w:hideMark/>
          </w:tcPr>
          <w:p w14:paraId="04D1525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0</w:t>
            </w:r>
          </w:p>
        </w:tc>
        <w:tc>
          <w:tcPr>
            <w:tcW w:w="926" w:type="dxa"/>
            <w:tcBorders>
              <w:top w:val="nil"/>
              <w:left w:val="nil"/>
              <w:bottom w:val="single" w:sz="8" w:space="0" w:color="auto"/>
              <w:right w:val="single" w:sz="8" w:space="0" w:color="auto"/>
            </w:tcBorders>
            <w:shd w:val="clear" w:color="auto" w:fill="auto"/>
            <w:vAlign w:val="center"/>
            <w:hideMark/>
          </w:tcPr>
          <w:p w14:paraId="6D500B4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33%</w:t>
            </w:r>
          </w:p>
        </w:tc>
        <w:tc>
          <w:tcPr>
            <w:tcW w:w="931" w:type="dxa"/>
            <w:tcBorders>
              <w:top w:val="nil"/>
              <w:left w:val="nil"/>
              <w:bottom w:val="single" w:sz="8" w:space="0" w:color="auto"/>
              <w:right w:val="single" w:sz="8" w:space="0" w:color="auto"/>
            </w:tcBorders>
            <w:shd w:val="clear" w:color="auto" w:fill="auto"/>
            <w:vAlign w:val="center"/>
            <w:hideMark/>
          </w:tcPr>
          <w:p w14:paraId="32CE57F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226</w:t>
            </w:r>
          </w:p>
        </w:tc>
      </w:tr>
      <w:tr w:rsidR="0079254B" w:rsidRPr="0079254B" w14:paraId="62F15734"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6C2777C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Germania</w:t>
            </w:r>
          </w:p>
        </w:tc>
        <w:tc>
          <w:tcPr>
            <w:tcW w:w="942" w:type="dxa"/>
            <w:tcBorders>
              <w:top w:val="nil"/>
              <w:left w:val="nil"/>
              <w:bottom w:val="single" w:sz="8" w:space="0" w:color="auto"/>
              <w:right w:val="single" w:sz="8" w:space="0" w:color="auto"/>
            </w:tcBorders>
            <w:shd w:val="clear" w:color="auto" w:fill="auto"/>
            <w:vAlign w:val="center"/>
            <w:hideMark/>
          </w:tcPr>
          <w:p w14:paraId="412B100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w:t>
            </w:r>
          </w:p>
        </w:tc>
        <w:tc>
          <w:tcPr>
            <w:tcW w:w="931" w:type="dxa"/>
            <w:tcBorders>
              <w:top w:val="nil"/>
              <w:left w:val="nil"/>
              <w:bottom w:val="single" w:sz="8" w:space="0" w:color="auto"/>
              <w:right w:val="single" w:sz="8" w:space="0" w:color="auto"/>
            </w:tcBorders>
            <w:shd w:val="clear" w:color="auto" w:fill="auto"/>
            <w:vAlign w:val="center"/>
            <w:hideMark/>
          </w:tcPr>
          <w:p w14:paraId="2C134E7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w:t>
            </w:r>
          </w:p>
        </w:tc>
        <w:tc>
          <w:tcPr>
            <w:tcW w:w="926" w:type="dxa"/>
            <w:tcBorders>
              <w:top w:val="nil"/>
              <w:left w:val="nil"/>
              <w:bottom w:val="single" w:sz="8" w:space="0" w:color="auto"/>
              <w:right w:val="single" w:sz="8" w:space="0" w:color="auto"/>
            </w:tcBorders>
            <w:shd w:val="clear" w:color="auto" w:fill="auto"/>
            <w:vAlign w:val="center"/>
            <w:hideMark/>
          </w:tcPr>
          <w:p w14:paraId="7BB6D8B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32%</w:t>
            </w:r>
          </w:p>
        </w:tc>
        <w:tc>
          <w:tcPr>
            <w:tcW w:w="931" w:type="dxa"/>
            <w:tcBorders>
              <w:top w:val="nil"/>
              <w:left w:val="nil"/>
              <w:bottom w:val="single" w:sz="8" w:space="0" w:color="auto"/>
              <w:right w:val="single" w:sz="8" w:space="0" w:color="auto"/>
            </w:tcBorders>
            <w:shd w:val="clear" w:color="auto" w:fill="auto"/>
            <w:vAlign w:val="center"/>
            <w:hideMark/>
          </w:tcPr>
          <w:p w14:paraId="30A5C7D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493</w:t>
            </w:r>
          </w:p>
        </w:tc>
      </w:tr>
      <w:tr w:rsidR="0079254B" w:rsidRPr="0079254B" w14:paraId="1545BFC5"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5FAB51A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Irlanda</w:t>
            </w:r>
          </w:p>
        </w:tc>
        <w:tc>
          <w:tcPr>
            <w:tcW w:w="942" w:type="dxa"/>
            <w:tcBorders>
              <w:top w:val="nil"/>
              <w:left w:val="nil"/>
              <w:bottom w:val="single" w:sz="8" w:space="0" w:color="auto"/>
              <w:right w:val="single" w:sz="8" w:space="0" w:color="auto"/>
            </w:tcBorders>
            <w:shd w:val="clear" w:color="auto" w:fill="auto"/>
            <w:vAlign w:val="center"/>
            <w:hideMark/>
          </w:tcPr>
          <w:p w14:paraId="4A67BBB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13%</w:t>
            </w:r>
          </w:p>
        </w:tc>
        <w:tc>
          <w:tcPr>
            <w:tcW w:w="931" w:type="dxa"/>
            <w:tcBorders>
              <w:top w:val="nil"/>
              <w:left w:val="nil"/>
              <w:bottom w:val="single" w:sz="8" w:space="0" w:color="auto"/>
              <w:right w:val="single" w:sz="8" w:space="0" w:color="auto"/>
            </w:tcBorders>
            <w:shd w:val="clear" w:color="auto" w:fill="auto"/>
            <w:vAlign w:val="center"/>
            <w:hideMark/>
          </w:tcPr>
          <w:p w14:paraId="0898819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194</w:t>
            </w:r>
          </w:p>
        </w:tc>
        <w:tc>
          <w:tcPr>
            <w:tcW w:w="926" w:type="dxa"/>
            <w:tcBorders>
              <w:top w:val="nil"/>
              <w:left w:val="nil"/>
              <w:bottom w:val="single" w:sz="8" w:space="0" w:color="auto"/>
              <w:right w:val="single" w:sz="8" w:space="0" w:color="auto"/>
            </w:tcBorders>
            <w:shd w:val="clear" w:color="auto" w:fill="auto"/>
            <w:vAlign w:val="center"/>
            <w:hideMark/>
          </w:tcPr>
          <w:p w14:paraId="5DAF72B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305</w:t>
            </w:r>
          </w:p>
        </w:tc>
        <w:tc>
          <w:tcPr>
            <w:tcW w:w="931" w:type="dxa"/>
            <w:tcBorders>
              <w:top w:val="nil"/>
              <w:left w:val="nil"/>
              <w:bottom w:val="single" w:sz="8" w:space="0" w:color="auto"/>
              <w:right w:val="single" w:sz="8" w:space="0" w:color="auto"/>
            </w:tcBorders>
            <w:shd w:val="clear" w:color="auto" w:fill="auto"/>
            <w:vAlign w:val="center"/>
            <w:hideMark/>
          </w:tcPr>
          <w:p w14:paraId="2ED0A48F"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490</w:t>
            </w:r>
          </w:p>
        </w:tc>
      </w:tr>
      <w:tr w:rsidR="0079254B" w:rsidRPr="0079254B" w14:paraId="3667B8FD"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2FDA966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Olanda</w:t>
            </w:r>
          </w:p>
        </w:tc>
        <w:tc>
          <w:tcPr>
            <w:tcW w:w="942" w:type="dxa"/>
            <w:tcBorders>
              <w:top w:val="nil"/>
              <w:left w:val="nil"/>
              <w:bottom w:val="single" w:sz="8" w:space="0" w:color="auto"/>
              <w:right w:val="single" w:sz="8" w:space="0" w:color="auto"/>
            </w:tcBorders>
            <w:shd w:val="clear" w:color="auto" w:fill="auto"/>
            <w:vAlign w:val="center"/>
            <w:hideMark/>
          </w:tcPr>
          <w:p w14:paraId="6FC98D5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9%</w:t>
            </w:r>
          </w:p>
        </w:tc>
        <w:tc>
          <w:tcPr>
            <w:tcW w:w="931" w:type="dxa"/>
            <w:tcBorders>
              <w:top w:val="nil"/>
              <w:left w:val="nil"/>
              <w:bottom w:val="single" w:sz="8" w:space="0" w:color="auto"/>
              <w:right w:val="single" w:sz="8" w:space="0" w:color="auto"/>
            </w:tcBorders>
            <w:shd w:val="clear" w:color="auto" w:fill="auto"/>
            <w:vAlign w:val="center"/>
            <w:hideMark/>
          </w:tcPr>
          <w:p w14:paraId="22412AB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130</w:t>
            </w:r>
          </w:p>
        </w:tc>
        <w:tc>
          <w:tcPr>
            <w:tcW w:w="926" w:type="dxa"/>
            <w:tcBorders>
              <w:top w:val="nil"/>
              <w:left w:val="nil"/>
              <w:bottom w:val="single" w:sz="8" w:space="0" w:color="auto"/>
              <w:right w:val="single" w:sz="8" w:space="0" w:color="auto"/>
            </w:tcBorders>
            <w:shd w:val="clear" w:color="auto" w:fill="auto"/>
            <w:vAlign w:val="center"/>
            <w:hideMark/>
          </w:tcPr>
          <w:p w14:paraId="391060C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28%</w:t>
            </w:r>
          </w:p>
        </w:tc>
        <w:tc>
          <w:tcPr>
            <w:tcW w:w="931" w:type="dxa"/>
            <w:tcBorders>
              <w:top w:val="nil"/>
              <w:left w:val="nil"/>
              <w:bottom w:val="single" w:sz="8" w:space="0" w:color="auto"/>
              <w:right w:val="single" w:sz="8" w:space="0" w:color="auto"/>
            </w:tcBorders>
            <w:shd w:val="clear" w:color="auto" w:fill="auto"/>
            <w:vAlign w:val="center"/>
            <w:hideMark/>
          </w:tcPr>
          <w:p w14:paraId="445CC7BF"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454</w:t>
            </w:r>
          </w:p>
        </w:tc>
      </w:tr>
      <w:tr w:rsidR="0079254B" w:rsidRPr="0079254B" w14:paraId="57609AB0"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44308A2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Spania</w:t>
            </w:r>
          </w:p>
        </w:tc>
        <w:tc>
          <w:tcPr>
            <w:tcW w:w="942" w:type="dxa"/>
            <w:tcBorders>
              <w:top w:val="nil"/>
              <w:left w:val="nil"/>
              <w:bottom w:val="single" w:sz="8" w:space="0" w:color="auto"/>
              <w:right w:val="single" w:sz="8" w:space="0" w:color="auto"/>
            </w:tcBorders>
            <w:shd w:val="clear" w:color="auto" w:fill="auto"/>
            <w:vAlign w:val="center"/>
            <w:hideMark/>
          </w:tcPr>
          <w:p w14:paraId="153064D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39%</w:t>
            </w:r>
          </w:p>
        </w:tc>
        <w:tc>
          <w:tcPr>
            <w:tcW w:w="931" w:type="dxa"/>
            <w:tcBorders>
              <w:top w:val="nil"/>
              <w:left w:val="nil"/>
              <w:bottom w:val="single" w:sz="8" w:space="0" w:color="auto"/>
              <w:right w:val="single" w:sz="8" w:space="0" w:color="auto"/>
            </w:tcBorders>
            <w:shd w:val="clear" w:color="auto" w:fill="auto"/>
            <w:vAlign w:val="center"/>
            <w:hideMark/>
          </w:tcPr>
          <w:p w14:paraId="7C98625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297</w:t>
            </w:r>
          </w:p>
        </w:tc>
        <w:tc>
          <w:tcPr>
            <w:tcW w:w="926" w:type="dxa"/>
            <w:tcBorders>
              <w:top w:val="nil"/>
              <w:left w:val="nil"/>
              <w:bottom w:val="single" w:sz="8" w:space="0" w:color="auto"/>
              <w:right w:val="single" w:sz="8" w:space="0" w:color="auto"/>
            </w:tcBorders>
            <w:shd w:val="clear" w:color="auto" w:fill="auto"/>
            <w:vAlign w:val="center"/>
            <w:hideMark/>
          </w:tcPr>
          <w:p w14:paraId="7D00A6B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26%</w:t>
            </w:r>
          </w:p>
        </w:tc>
        <w:tc>
          <w:tcPr>
            <w:tcW w:w="931" w:type="dxa"/>
            <w:tcBorders>
              <w:top w:val="nil"/>
              <w:left w:val="nil"/>
              <w:bottom w:val="single" w:sz="8" w:space="0" w:color="auto"/>
              <w:right w:val="single" w:sz="8" w:space="0" w:color="auto"/>
            </w:tcBorders>
            <w:shd w:val="clear" w:color="auto" w:fill="auto"/>
            <w:vAlign w:val="center"/>
            <w:hideMark/>
          </w:tcPr>
          <w:p w14:paraId="1D0802D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273</w:t>
            </w:r>
          </w:p>
        </w:tc>
      </w:tr>
      <w:tr w:rsidR="0079254B" w:rsidRPr="0079254B" w14:paraId="3E949D9F"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301B237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Belgia</w:t>
            </w:r>
          </w:p>
        </w:tc>
        <w:tc>
          <w:tcPr>
            <w:tcW w:w="942" w:type="dxa"/>
            <w:tcBorders>
              <w:top w:val="nil"/>
              <w:left w:val="nil"/>
              <w:bottom w:val="single" w:sz="8" w:space="0" w:color="auto"/>
              <w:right w:val="single" w:sz="8" w:space="0" w:color="auto"/>
            </w:tcBorders>
            <w:shd w:val="clear" w:color="auto" w:fill="auto"/>
            <w:vAlign w:val="center"/>
            <w:hideMark/>
          </w:tcPr>
          <w:p w14:paraId="1C2C315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w:t>
            </w:r>
          </w:p>
        </w:tc>
        <w:tc>
          <w:tcPr>
            <w:tcW w:w="931" w:type="dxa"/>
            <w:tcBorders>
              <w:top w:val="nil"/>
              <w:left w:val="nil"/>
              <w:bottom w:val="single" w:sz="8" w:space="0" w:color="auto"/>
              <w:right w:val="single" w:sz="8" w:space="0" w:color="auto"/>
            </w:tcBorders>
            <w:shd w:val="clear" w:color="auto" w:fill="auto"/>
            <w:vAlign w:val="center"/>
            <w:hideMark/>
          </w:tcPr>
          <w:p w14:paraId="666CED4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92</w:t>
            </w:r>
          </w:p>
        </w:tc>
        <w:tc>
          <w:tcPr>
            <w:tcW w:w="926" w:type="dxa"/>
            <w:tcBorders>
              <w:top w:val="nil"/>
              <w:left w:val="nil"/>
              <w:bottom w:val="single" w:sz="8" w:space="0" w:color="auto"/>
              <w:right w:val="single" w:sz="8" w:space="0" w:color="auto"/>
            </w:tcBorders>
            <w:shd w:val="clear" w:color="auto" w:fill="auto"/>
            <w:vAlign w:val="center"/>
            <w:hideMark/>
          </w:tcPr>
          <w:p w14:paraId="7BD6C7F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25%</w:t>
            </w:r>
          </w:p>
        </w:tc>
        <w:tc>
          <w:tcPr>
            <w:tcW w:w="931" w:type="dxa"/>
            <w:tcBorders>
              <w:top w:val="nil"/>
              <w:left w:val="nil"/>
              <w:bottom w:val="single" w:sz="8" w:space="0" w:color="auto"/>
              <w:right w:val="single" w:sz="8" w:space="0" w:color="auto"/>
            </w:tcBorders>
            <w:shd w:val="clear" w:color="auto" w:fill="auto"/>
            <w:vAlign w:val="center"/>
            <w:hideMark/>
          </w:tcPr>
          <w:p w14:paraId="79C2BB3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400</w:t>
            </w:r>
          </w:p>
        </w:tc>
      </w:tr>
      <w:tr w:rsidR="0079254B" w:rsidRPr="0079254B" w14:paraId="039DBCCE"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666FAD9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Luxemburg</w:t>
            </w:r>
          </w:p>
        </w:tc>
        <w:tc>
          <w:tcPr>
            <w:tcW w:w="942" w:type="dxa"/>
            <w:tcBorders>
              <w:top w:val="nil"/>
              <w:left w:val="nil"/>
              <w:bottom w:val="single" w:sz="8" w:space="0" w:color="auto"/>
              <w:right w:val="single" w:sz="8" w:space="0" w:color="auto"/>
            </w:tcBorders>
            <w:shd w:val="clear" w:color="auto" w:fill="auto"/>
            <w:vAlign w:val="center"/>
            <w:hideMark/>
          </w:tcPr>
          <w:p w14:paraId="6564132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9%</w:t>
            </w:r>
          </w:p>
        </w:tc>
        <w:tc>
          <w:tcPr>
            <w:tcW w:w="931" w:type="dxa"/>
            <w:tcBorders>
              <w:top w:val="nil"/>
              <w:left w:val="nil"/>
              <w:bottom w:val="single" w:sz="8" w:space="0" w:color="auto"/>
              <w:right w:val="single" w:sz="8" w:space="0" w:color="auto"/>
            </w:tcBorders>
            <w:shd w:val="clear" w:color="auto" w:fill="auto"/>
            <w:vAlign w:val="center"/>
            <w:hideMark/>
          </w:tcPr>
          <w:p w14:paraId="4B3EFAE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169</w:t>
            </w:r>
          </w:p>
        </w:tc>
        <w:tc>
          <w:tcPr>
            <w:tcW w:w="926" w:type="dxa"/>
            <w:tcBorders>
              <w:top w:val="nil"/>
              <w:left w:val="nil"/>
              <w:bottom w:val="single" w:sz="8" w:space="0" w:color="auto"/>
              <w:right w:val="single" w:sz="8" w:space="0" w:color="auto"/>
            </w:tcBorders>
            <w:shd w:val="clear" w:color="auto" w:fill="auto"/>
            <w:vAlign w:val="center"/>
            <w:hideMark/>
          </w:tcPr>
          <w:p w14:paraId="4A2C844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23%</w:t>
            </w:r>
          </w:p>
        </w:tc>
        <w:tc>
          <w:tcPr>
            <w:tcW w:w="931" w:type="dxa"/>
            <w:tcBorders>
              <w:top w:val="nil"/>
              <w:left w:val="nil"/>
              <w:bottom w:val="single" w:sz="8" w:space="0" w:color="auto"/>
              <w:right w:val="single" w:sz="8" w:space="0" w:color="auto"/>
            </w:tcBorders>
            <w:shd w:val="clear" w:color="auto" w:fill="auto"/>
            <w:vAlign w:val="center"/>
            <w:hideMark/>
          </w:tcPr>
          <w:p w14:paraId="28DB642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481</w:t>
            </w:r>
          </w:p>
        </w:tc>
      </w:tr>
      <w:tr w:rsidR="0079254B" w:rsidRPr="0079254B" w14:paraId="6B6E5FD5"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5560EAC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Malta</w:t>
            </w:r>
          </w:p>
        </w:tc>
        <w:tc>
          <w:tcPr>
            <w:tcW w:w="942" w:type="dxa"/>
            <w:tcBorders>
              <w:top w:val="nil"/>
              <w:left w:val="nil"/>
              <w:bottom w:val="single" w:sz="8" w:space="0" w:color="auto"/>
              <w:right w:val="single" w:sz="8" w:space="0" w:color="auto"/>
            </w:tcBorders>
            <w:shd w:val="clear" w:color="auto" w:fill="auto"/>
            <w:vAlign w:val="center"/>
            <w:hideMark/>
          </w:tcPr>
          <w:p w14:paraId="021A9F4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w:t>
            </w:r>
          </w:p>
        </w:tc>
        <w:tc>
          <w:tcPr>
            <w:tcW w:w="931" w:type="dxa"/>
            <w:tcBorders>
              <w:top w:val="nil"/>
              <w:left w:val="nil"/>
              <w:bottom w:val="single" w:sz="8" w:space="0" w:color="auto"/>
              <w:right w:val="single" w:sz="8" w:space="0" w:color="auto"/>
            </w:tcBorders>
            <w:shd w:val="clear" w:color="auto" w:fill="auto"/>
            <w:vAlign w:val="center"/>
            <w:hideMark/>
          </w:tcPr>
          <w:p w14:paraId="525CD38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44</w:t>
            </w:r>
          </w:p>
        </w:tc>
        <w:tc>
          <w:tcPr>
            <w:tcW w:w="926" w:type="dxa"/>
            <w:tcBorders>
              <w:top w:val="nil"/>
              <w:left w:val="nil"/>
              <w:bottom w:val="single" w:sz="8" w:space="0" w:color="auto"/>
              <w:right w:val="single" w:sz="8" w:space="0" w:color="auto"/>
            </w:tcBorders>
            <w:shd w:val="clear" w:color="auto" w:fill="auto"/>
            <w:vAlign w:val="center"/>
            <w:hideMark/>
          </w:tcPr>
          <w:p w14:paraId="4E2C14D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21%</w:t>
            </w:r>
          </w:p>
        </w:tc>
        <w:tc>
          <w:tcPr>
            <w:tcW w:w="931" w:type="dxa"/>
            <w:tcBorders>
              <w:top w:val="nil"/>
              <w:left w:val="nil"/>
              <w:bottom w:val="single" w:sz="8" w:space="0" w:color="auto"/>
              <w:right w:val="single" w:sz="8" w:space="0" w:color="auto"/>
            </w:tcBorders>
            <w:shd w:val="clear" w:color="auto" w:fill="auto"/>
            <w:vAlign w:val="center"/>
            <w:hideMark/>
          </w:tcPr>
          <w:p w14:paraId="0C27BC4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163</w:t>
            </w:r>
          </w:p>
        </w:tc>
      </w:tr>
      <w:tr w:rsidR="0079254B" w:rsidRPr="0079254B" w14:paraId="35702DB6" w14:textId="77777777" w:rsidTr="0079254B">
        <w:trPr>
          <w:trHeight w:val="315"/>
          <w:jc w:val="center"/>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045F542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Franța</w:t>
            </w:r>
          </w:p>
        </w:tc>
        <w:tc>
          <w:tcPr>
            <w:tcW w:w="942" w:type="dxa"/>
            <w:tcBorders>
              <w:top w:val="nil"/>
              <w:left w:val="nil"/>
              <w:bottom w:val="single" w:sz="8" w:space="0" w:color="auto"/>
              <w:right w:val="single" w:sz="8" w:space="0" w:color="auto"/>
            </w:tcBorders>
            <w:shd w:val="clear" w:color="auto" w:fill="auto"/>
            <w:vAlign w:val="center"/>
            <w:hideMark/>
          </w:tcPr>
          <w:p w14:paraId="582B699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5%</w:t>
            </w:r>
          </w:p>
        </w:tc>
        <w:tc>
          <w:tcPr>
            <w:tcW w:w="931" w:type="dxa"/>
            <w:tcBorders>
              <w:top w:val="nil"/>
              <w:left w:val="nil"/>
              <w:bottom w:val="single" w:sz="8" w:space="0" w:color="auto"/>
              <w:right w:val="single" w:sz="8" w:space="0" w:color="auto"/>
            </w:tcBorders>
            <w:shd w:val="clear" w:color="auto" w:fill="auto"/>
            <w:vAlign w:val="center"/>
            <w:hideMark/>
          </w:tcPr>
          <w:p w14:paraId="147F1D3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76</w:t>
            </w:r>
          </w:p>
        </w:tc>
        <w:tc>
          <w:tcPr>
            <w:tcW w:w="926" w:type="dxa"/>
            <w:tcBorders>
              <w:top w:val="nil"/>
              <w:left w:val="nil"/>
              <w:bottom w:val="single" w:sz="8" w:space="0" w:color="auto"/>
              <w:right w:val="single" w:sz="8" w:space="0" w:color="auto"/>
            </w:tcBorders>
            <w:shd w:val="clear" w:color="auto" w:fill="auto"/>
            <w:vAlign w:val="center"/>
            <w:hideMark/>
          </w:tcPr>
          <w:p w14:paraId="6B9008B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16%</w:t>
            </w:r>
          </w:p>
        </w:tc>
        <w:tc>
          <w:tcPr>
            <w:tcW w:w="931" w:type="dxa"/>
            <w:tcBorders>
              <w:top w:val="nil"/>
              <w:left w:val="nil"/>
              <w:bottom w:val="single" w:sz="8" w:space="0" w:color="auto"/>
              <w:right w:val="single" w:sz="8" w:space="0" w:color="auto"/>
            </w:tcBorders>
            <w:shd w:val="clear" w:color="auto" w:fill="auto"/>
            <w:vAlign w:val="center"/>
            <w:hideMark/>
          </w:tcPr>
          <w:p w14:paraId="0FAB307F"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246</w:t>
            </w:r>
          </w:p>
        </w:tc>
      </w:tr>
    </w:tbl>
    <w:p w14:paraId="1F5BDB72" w14:textId="77777777" w:rsidR="008938E8" w:rsidRDefault="008938E8" w:rsidP="00F828CD">
      <w:pPr>
        <w:rPr>
          <w:lang w:val="ro-RO"/>
        </w:rPr>
      </w:pPr>
    </w:p>
    <w:p w14:paraId="7A5A4E77" w14:textId="5C4BE333" w:rsidR="00F828CD" w:rsidRDefault="00F828CD" w:rsidP="00022502">
      <w:pPr>
        <w:rPr>
          <w:lang w:val="ro-RO"/>
        </w:rPr>
      </w:pPr>
    </w:p>
    <w:p w14:paraId="15A8E217" w14:textId="20C3509B" w:rsidR="00022502" w:rsidRDefault="00022502" w:rsidP="00022502">
      <w:pPr>
        <w:rPr>
          <w:lang w:val="ro-RO"/>
        </w:rPr>
      </w:pPr>
      <w:r w:rsidRPr="00022502">
        <w:rPr>
          <w:lang w:val="ro-RO"/>
        </w:rPr>
        <w:t>Tabelul 3. Evoluția salariului minim brut real în țările UE, 2019-2024</w:t>
      </w:r>
    </w:p>
    <w:p w14:paraId="7FF81143" w14:textId="160B19BE" w:rsidR="00C523D0" w:rsidRDefault="00C523D0" w:rsidP="00022502">
      <w:pPr>
        <w:rPr>
          <w:lang w:val="ro-RO"/>
        </w:rPr>
      </w:pPr>
    </w:p>
    <w:tbl>
      <w:tblPr>
        <w:tblW w:w="6720" w:type="dxa"/>
        <w:jc w:val="center"/>
        <w:tblLook w:val="04A0" w:firstRow="1" w:lastRow="0" w:firstColumn="1" w:lastColumn="0" w:noHBand="0" w:noVBand="1"/>
      </w:tblPr>
      <w:tblGrid>
        <w:gridCol w:w="1056"/>
        <w:gridCol w:w="944"/>
        <w:gridCol w:w="944"/>
        <w:gridCol w:w="944"/>
        <w:gridCol w:w="944"/>
        <w:gridCol w:w="944"/>
        <w:gridCol w:w="944"/>
      </w:tblGrid>
      <w:tr w:rsidR="0079254B" w:rsidRPr="0079254B" w14:paraId="7567FC3C" w14:textId="77777777" w:rsidTr="0079254B">
        <w:trPr>
          <w:trHeight w:val="30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A678B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Tara</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E71F09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42821E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2020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2A9929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2021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E6914A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2022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4B13A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2023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B3EDB1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2024</w:t>
            </w:r>
          </w:p>
        </w:tc>
      </w:tr>
      <w:tr w:rsidR="0079254B" w:rsidRPr="0079254B" w14:paraId="1E18BC12"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14485C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Polonia</w:t>
            </w:r>
          </w:p>
        </w:tc>
        <w:tc>
          <w:tcPr>
            <w:tcW w:w="960" w:type="dxa"/>
            <w:tcBorders>
              <w:top w:val="nil"/>
              <w:left w:val="nil"/>
              <w:bottom w:val="single" w:sz="8" w:space="0" w:color="auto"/>
              <w:right w:val="single" w:sz="8" w:space="0" w:color="auto"/>
            </w:tcBorders>
            <w:shd w:val="clear" w:color="auto" w:fill="auto"/>
            <w:vAlign w:val="center"/>
            <w:hideMark/>
          </w:tcPr>
          <w:p w14:paraId="2CCDFAF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6,5%</w:t>
            </w:r>
          </w:p>
        </w:tc>
        <w:tc>
          <w:tcPr>
            <w:tcW w:w="960" w:type="dxa"/>
            <w:tcBorders>
              <w:top w:val="nil"/>
              <w:left w:val="nil"/>
              <w:bottom w:val="single" w:sz="8" w:space="0" w:color="auto"/>
              <w:right w:val="single" w:sz="8" w:space="0" w:color="auto"/>
            </w:tcBorders>
            <w:shd w:val="clear" w:color="auto" w:fill="auto"/>
            <w:vAlign w:val="center"/>
            <w:hideMark/>
          </w:tcPr>
          <w:p w14:paraId="75229CD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11,3%</w:t>
            </w:r>
          </w:p>
        </w:tc>
        <w:tc>
          <w:tcPr>
            <w:tcW w:w="960" w:type="dxa"/>
            <w:tcBorders>
              <w:top w:val="nil"/>
              <w:left w:val="nil"/>
              <w:bottom w:val="single" w:sz="8" w:space="0" w:color="auto"/>
              <w:right w:val="single" w:sz="8" w:space="0" w:color="auto"/>
            </w:tcBorders>
            <w:shd w:val="clear" w:color="auto" w:fill="auto"/>
            <w:vAlign w:val="center"/>
            <w:hideMark/>
          </w:tcPr>
          <w:p w14:paraId="4BE8CC2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w:t>
            </w:r>
          </w:p>
        </w:tc>
        <w:tc>
          <w:tcPr>
            <w:tcW w:w="960" w:type="dxa"/>
            <w:tcBorders>
              <w:top w:val="nil"/>
              <w:left w:val="nil"/>
              <w:bottom w:val="single" w:sz="8" w:space="0" w:color="auto"/>
              <w:right w:val="single" w:sz="8" w:space="0" w:color="auto"/>
            </w:tcBorders>
            <w:shd w:val="clear" w:color="auto" w:fill="auto"/>
            <w:vAlign w:val="center"/>
            <w:hideMark/>
          </w:tcPr>
          <w:p w14:paraId="3CEC2C5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-1,1%</w:t>
            </w:r>
          </w:p>
        </w:tc>
        <w:tc>
          <w:tcPr>
            <w:tcW w:w="960" w:type="dxa"/>
            <w:tcBorders>
              <w:top w:val="nil"/>
              <w:left w:val="nil"/>
              <w:bottom w:val="single" w:sz="8" w:space="0" w:color="auto"/>
              <w:right w:val="single" w:sz="8" w:space="0" w:color="auto"/>
            </w:tcBorders>
            <w:shd w:val="clear" w:color="auto" w:fill="auto"/>
            <w:vAlign w:val="center"/>
            <w:hideMark/>
          </w:tcPr>
          <w:p w14:paraId="4B6CCB7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0%</w:t>
            </w:r>
          </w:p>
        </w:tc>
        <w:tc>
          <w:tcPr>
            <w:tcW w:w="960" w:type="dxa"/>
            <w:tcBorders>
              <w:top w:val="nil"/>
              <w:left w:val="nil"/>
              <w:bottom w:val="single" w:sz="8" w:space="0" w:color="auto"/>
              <w:right w:val="single" w:sz="8" w:space="0" w:color="auto"/>
            </w:tcBorders>
            <w:shd w:val="clear" w:color="auto" w:fill="auto"/>
            <w:vAlign w:val="center"/>
            <w:hideMark/>
          </w:tcPr>
          <w:p w14:paraId="27C7266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16,3%</w:t>
            </w:r>
          </w:p>
        </w:tc>
      </w:tr>
      <w:tr w:rsidR="0079254B" w:rsidRPr="0079254B" w14:paraId="4D35C14C"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5F3CE0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Bulgaria</w:t>
            </w:r>
          </w:p>
        </w:tc>
        <w:tc>
          <w:tcPr>
            <w:tcW w:w="960" w:type="dxa"/>
            <w:tcBorders>
              <w:top w:val="nil"/>
              <w:left w:val="nil"/>
              <w:bottom w:val="single" w:sz="8" w:space="0" w:color="auto"/>
              <w:right w:val="single" w:sz="8" w:space="0" w:color="auto"/>
            </w:tcBorders>
            <w:shd w:val="clear" w:color="auto" w:fill="auto"/>
            <w:vAlign w:val="center"/>
            <w:hideMark/>
          </w:tcPr>
          <w:p w14:paraId="653424C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7,3%</w:t>
            </w:r>
          </w:p>
        </w:tc>
        <w:tc>
          <w:tcPr>
            <w:tcW w:w="960" w:type="dxa"/>
            <w:tcBorders>
              <w:top w:val="nil"/>
              <w:left w:val="nil"/>
              <w:bottom w:val="single" w:sz="8" w:space="0" w:color="auto"/>
              <w:right w:val="single" w:sz="8" w:space="0" w:color="auto"/>
            </w:tcBorders>
            <w:shd w:val="clear" w:color="auto" w:fill="auto"/>
            <w:vAlign w:val="center"/>
            <w:hideMark/>
          </w:tcPr>
          <w:p w14:paraId="1C72F92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5,3%</w:t>
            </w:r>
          </w:p>
        </w:tc>
        <w:tc>
          <w:tcPr>
            <w:tcW w:w="960" w:type="dxa"/>
            <w:tcBorders>
              <w:top w:val="nil"/>
              <w:left w:val="nil"/>
              <w:bottom w:val="single" w:sz="8" w:space="0" w:color="auto"/>
              <w:right w:val="single" w:sz="8" w:space="0" w:color="auto"/>
            </w:tcBorders>
            <w:shd w:val="clear" w:color="auto" w:fill="auto"/>
            <w:vAlign w:val="center"/>
            <w:hideMark/>
          </w:tcPr>
          <w:p w14:paraId="01CC018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6,9%</w:t>
            </w:r>
          </w:p>
        </w:tc>
        <w:tc>
          <w:tcPr>
            <w:tcW w:w="960" w:type="dxa"/>
            <w:tcBorders>
              <w:top w:val="nil"/>
              <w:left w:val="nil"/>
              <w:bottom w:val="single" w:sz="8" w:space="0" w:color="auto"/>
              <w:right w:val="single" w:sz="8" w:space="0" w:color="auto"/>
            </w:tcBorders>
            <w:shd w:val="clear" w:color="auto" w:fill="auto"/>
            <w:vAlign w:val="center"/>
            <w:hideMark/>
          </w:tcPr>
          <w:p w14:paraId="0A62E3F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-7,1%</w:t>
            </w:r>
          </w:p>
        </w:tc>
        <w:tc>
          <w:tcPr>
            <w:tcW w:w="960" w:type="dxa"/>
            <w:tcBorders>
              <w:top w:val="nil"/>
              <w:left w:val="nil"/>
              <w:bottom w:val="single" w:sz="8" w:space="0" w:color="auto"/>
              <w:right w:val="single" w:sz="8" w:space="0" w:color="auto"/>
            </w:tcBorders>
            <w:shd w:val="clear" w:color="auto" w:fill="auto"/>
            <w:vAlign w:val="center"/>
            <w:hideMark/>
          </w:tcPr>
          <w:p w14:paraId="0ED071B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5%</w:t>
            </w:r>
          </w:p>
        </w:tc>
        <w:tc>
          <w:tcPr>
            <w:tcW w:w="960" w:type="dxa"/>
            <w:tcBorders>
              <w:top w:val="nil"/>
              <w:left w:val="nil"/>
              <w:bottom w:val="single" w:sz="8" w:space="0" w:color="auto"/>
              <w:right w:val="single" w:sz="8" w:space="0" w:color="auto"/>
            </w:tcBorders>
            <w:shd w:val="clear" w:color="auto" w:fill="auto"/>
            <w:vAlign w:val="center"/>
            <w:hideMark/>
          </w:tcPr>
          <w:p w14:paraId="6DA77B6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15,1%</w:t>
            </w:r>
          </w:p>
        </w:tc>
      </w:tr>
      <w:tr w:rsidR="0079254B" w:rsidRPr="0079254B" w14:paraId="59076993"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2455C8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Croația</w:t>
            </w:r>
          </w:p>
        </w:tc>
        <w:tc>
          <w:tcPr>
            <w:tcW w:w="960" w:type="dxa"/>
            <w:tcBorders>
              <w:top w:val="nil"/>
              <w:left w:val="nil"/>
              <w:bottom w:val="single" w:sz="8" w:space="0" w:color="auto"/>
              <w:right w:val="single" w:sz="8" w:space="0" w:color="auto"/>
            </w:tcBorders>
            <w:shd w:val="clear" w:color="auto" w:fill="auto"/>
            <w:vAlign w:val="center"/>
            <w:hideMark/>
          </w:tcPr>
          <w:p w14:paraId="59FC3BD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8,4%</w:t>
            </w:r>
          </w:p>
        </w:tc>
        <w:tc>
          <w:tcPr>
            <w:tcW w:w="960" w:type="dxa"/>
            <w:tcBorders>
              <w:top w:val="nil"/>
              <w:left w:val="nil"/>
              <w:bottom w:val="single" w:sz="8" w:space="0" w:color="auto"/>
              <w:right w:val="single" w:sz="8" w:space="0" w:color="auto"/>
            </w:tcBorders>
            <w:shd w:val="clear" w:color="auto" w:fill="auto"/>
            <w:vAlign w:val="center"/>
            <w:hideMark/>
          </w:tcPr>
          <w:p w14:paraId="3C900D1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6,4%</w:t>
            </w:r>
          </w:p>
        </w:tc>
        <w:tc>
          <w:tcPr>
            <w:tcW w:w="960" w:type="dxa"/>
            <w:tcBorders>
              <w:top w:val="nil"/>
              <w:left w:val="nil"/>
              <w:bottom w:val="single" w:sz="8" w:space="0" w:color="auto"/>
              <w:right w:val="single" w:sz="8" w:space="0" w:color="auto"/>
            </w:tcBorders>
            <w:shd w:val="clear" w:color="auto" w:fill="auto"/>
            <w:vAlign w:val="center"/>
            <w:hideMark/>
          </w:tcPr>
          <w:p w14:paraId="7D539D8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4,6%</w:t>
            </w:r>
          </w:p>
        </w:tc>
        <w:tc>
          <w:tcPr>
            <w:tcW w:w="960" w:type="dxa"/>
            <w:tcBorders>
              <w:top w:val="nil"/>
              <w:left w:val="nil"/>
              <w:bottom w:val="single" w:sz="8" w:space="0" w:color="auto"/>
              <w:right w:val="single" w:sz="8" w:space="0" w:color="auto"/>
            </w:tcBorders>
            <w:shd w:val="clear" w:color="auto" w:fill="auto"/>
            <w:vAlign w:val="center"/>
            <w:hideMark/>
          </w:tcPr>
          <w:p w14:paraId="0BCEF9E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4,5%</w:t>
            </w:r>
          </w:p>
        </w:tc>
        <w:tc>
          <w:tcPr>
            <w:tcW w:w="960" w:type="dxa"/>
            <w:tcBorders>
              <w:top w:val="nil"/>
              <w:left w:val="nil"/>
              <w:bottom w:val="single" w:sz="8" w:space="0" w:color="auto"/>
              <w:right w:val="single" w:sz="8" w:space="0" w:color="auto"/>
            </w:tcBorders>
            <w:shd w:val="clear" w:color="auto" w:fill="auto"/>
            <w:vAlign w:val="center"/>
            <w:hideMark/>
          </w:tcPr>
          <w:p w14:paraId="1E5676E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0%</w:t>
            </w:r>
          </w:p>
        </w:tc>
        <w:tc>
          <w:tcPr>
            <w:tcW w:w="960" w:type="dxa"/>
            <w:tcBorders>
              <w:top w:val="nil"/>
              <w:left w:val="nil"/>
              <w:bottom w:val="single" w:sz="8" w:space="0" w:color="auto"/>
              <w:right w:val="single" w:sz="8" w:space="0" w:color="auto"/>
            </w:tcBorders>
            <w:shd w:val="clear" w:color="auto" w:fill="auto"/>
            <w:vAlign w:val="center"/>
            <w:hideMark/>
          </w:tcPr>
          <w:p w14:paraId="761D31A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14,5%</w:t>
            </w:r>
          </w:p>
        </w:tc>
      </w:tr>
      <w:tr w:rsidR="0079254B" w:rsidRPr="0079254B" w14:paraId="47BA6428"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C6A215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Letonia</w:t>
            </w:r>
          </w:p>
        </w:tc>
        <w:tc>
          <w:tcPr>
            <w:tcW w:w="960" w:type="dxa"/>
            <w:tcBorders>
              <w:top w:val="nil"/>
              <w:left w:val="nil"/>
              <w:bottom w:val="single" w:sz="8" w:space="0" w:color="auto"/>
              <w:right w:val="single" w:sz="8" w:space="0" w:color="auto"/>
            </w:tcBorders>
            <w:shd w:val="clear" w:color="auto" w:fill="auto"/>
            <w:vAlign w:val="center"/>
            <w:hideMark/>
          </w:tcPr>
          <w:p w14:paraId="5E8EDB6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-2,8%</w:t>
            </w:r>
          </w:p>
        </w:tc>
        <w:tc>
          <w:tcPr>
            <w:tcW w:w="960" w:type="dxa"/>
            <w:tcBorders>
              <w:top w:val="nil"/>
              <w:left w:val="nil"/>
              <w:bottom w:val="single" w:sz="8" w:space="0" w:color="auto"/>
              <w:right w:val="single" w:sz="8" w:space="0" w:color="auto"/>
            </w:tcBorders>
            <w:shd w:val="clear" w:color="auto" w:fill="auto"/>
            <w:vAlign w:val="center"/>
            <w:hideMark/>
          </w:tcPr>
          <w:p w14:paraId="2982F5F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-2,2%</w:t>
            </w:r>
          </w:p>
        </w:tc>
        <w:tc>
          <w:tcPr>
            <w:tcW w:w="960" w:type="dxa"/>
            <w:tcBorders>
              <w:top w:val="nil"/>
              <w:left w:val="nil"/>
              <w:bottom w:val="single" w:sz="8" w:space="0" w:color="auto"/>
              <w:right w:val="single" w:sz="8" w:space="0" w:color="auto"/>
            </w:tcBorders>
            <w:shd w:val="clear" w:color="auto" w:fill="auto"/>
            <w:vAlign w:val="center"/>
            <w:hideMark/>
          </w:tcPr>
          <w:p w14:paraId="2023343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16,9%</w:t>
            </w:r>
          </w:p>
        </w:tc>
        <w:tc>
          <w:tcPr>
            <w:tcW w:w="960" w:type="dxa"/>
            <w:tcBorders>
              <w:top w:val="nil"/>
              <w:left w:val="nil"/>
              <w:bottom w:val="single" w:sz="8" w:space="0" w:color="auto"/>
              <w:right w:val="single" w:sz="8" w:space="0" w:color="auto"/>
            </w:tcBorders>
            <w:shd w:val="clear" w:color="auto" w:fill="auto"/>
            <w:vAlign w:val="center"/>
            <w:hideMark/>
          </w:tcPr>
          <w:p w14:paraId="0196E4E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-7%</w:t>
            </w:r>
          </w:p>
        </w:tc>
        <w:tc>
          <w:tcPr>
            <w:tcW w:w="960" w:type="dxa"/>
            <w:tcBorders>
              <w:top w:val="nil"/>
              <w:left w:val="nil"/>
              <w:bottom w:val="single" w:sz="8" w:space="0" w:color="auto"/>
              <w:right w:val="single" w:sz="8" w:space="0" w:color="auto"/>
            </w:tcBorders>
            <w:shd w:val="clear" w:color="auto" w:fill="auto"/>
            <w:vAlign w:val="center"/>
            <w:hideMark/>
          </w:tcPr>
          <w:p w14:paraId="14D7E08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2,1%</w:t>
            </w:r>
          </w:p>
        </w:tc>
        <w:tc>
          <w:tcPr>
            <w:tcW w:w="960" w:type="dxa"/>
            <w:tcBorders>
              <w:top w:val="nil"/>
              <w:left w:val="nil"/>
              <w:bottom w:val="single" w:sz="8" w:space="0" w:color="auto"/>
              <w:right w:val="single" w:sz="8" w:space="0" w:color="auto"/>
            </w:tcBorders>
            <w:shd w:val="clear" w:color="auto" w:fill="auto"/>
            <w:vAlign w:val="center"/>
            <w:hideMark/>
          </w:tcPr>
          <w:p w14:paraId="38CDBC3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11,7%</w:t>
            </w:r>
          </w:p>
        </w:tc>
      </w:tr>
      <w:tr w:rsidR="0079254B" w:rsidRPr="0079254B" w14:paraId="7898EF1F"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4A1305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Ungaria</w:t>
            </w:r>
          </w:p>
        </w:tc>
        <w:tc>
          <w:tcPr>
            <w:tcW w:w="960" w:type="dxa"/>
            <w:tcBorders>
              <w:top w:val="nil"/>
              <w:left w:val="nil"/>
              <w:bottom w:val="single" w:sz="8" w:space="0" w:color="auto"/>
              <w:right w:val="single" w:sz="8" w:space="0" w:color="auto"/>
            </w:tcBorders>
            <w:shd w:val="clear" w:color="auto" w:fill="auto"/>
            <w:vAlign w:val="center"/>
            <w:hideMark/>
          </w:tcPr>
          <w:p w14:paraId="46C8635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5%</w:t>
            </w:r>
          </w:p>
        </w:tc>
        <w:tc>
          <w:tcPr>
            <w:tcW w:w="960" w:type="dxa"/>
            <w:tcBorders>
              <w:top w:val="nil"/>
              <w:left w:val="nil"/>
              <w:bottom w:val="single" w:sz="8" w:space="0" w:color="auto"/>
              <w:right w:val="single" w:sz="8" w:space="0" w:color="auto"/>
            </w:tcBorders>
            <w:shd w:val="clear" w:color="auto" w:fill="auto"/>
            <w:vAlign w:val="center"/>
            <w:hideMark/>
          </w:tcPr>
          <w:p w14:paraId="109772A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3,2%</w:t>
            </w:r>
          </w:p>
        </w:tc>
        <w:tc>
          <w:tcPr>
            <w:tcW w:w="960" w:type="dxa"/>
            <w:tcBorders>
              <w:top w:val="nil"/>
              <w:left w:val="nil"/>
              <w:bottom w:val="single" w:sz="8" w:space="0" w:color="auto"/>
              <w:right w:val="single" w:sz="8" w:space="0" w:color="auto"/>
            </w:tcBorders>
            <w:shd w:val="clear" w:color="auto" w:fill="auto"/>
            <w:vAlign w:val="center"/>
            <w:hideMark/>
          </w:tcPr>
          <w:p w14:paraId="1D16EC3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-2,8%</w:t>
            </w:r>
          </w:p>
        </w:tc>
        <w:tc>
          <w:tcPr>
            <w:tcW w:w="960" w:type="dxa"/>
            <w:tcBorders>
              <w:top w:val="nil"/>
              <w:left w:val="nil"/>
              <w:bottom w:val="single" w:sz="8" w:space="0" w:color="auto"/>
              <w:right w:val="single" w:sz="8" w:space="0" w:color="auto"/>
            </w:tcBorders>
            <w:shd w:val="clear" w:color="auto" w:fill="auto"/>
            <w:vAlign w:val="center"/>
            <w:hideMark/>
          </w:tcPr>
          <w:p w14:paraId="137057D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15,1%</w:t>
            </w:r>
          </w:p>
        </w:tc>
        <w:tc>
          <w:tcPr>
            <w:tcW w:w="960" w:type="dxa"/>
            <w:tcBorders>
              <w:top w:val="nil"/>
              <w:left w:val="nil"/>
              <w:bottom w:val="single" w:sz="8" w:space="0" w:color="auto"/>
              <w:right w:val="single" w:sz="8" w:space="0" w:color="auto"/>
            </w:tcBorders>
            <w:shd w:val="clear" w:color="auto" w:fill="auto"/>
            <w:vAlign w:val="center"/>
            <w:hideMark/>
          </w:tcPr>
          <w:p w14:paraId="57E5A6F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-8,1%</w:t>
            </w:r>
          </w:p>
        </w:tc>
        <w:tc>
          <w:tcPr>
            <w:tcW w:w="960" w:type="dxa"/>
            <w:tcBorders>
              <w:top w:val="nil"/>
              <w:left w:val="nil"/>
              <w:bottom w:val="single" w:sz="8" w:space="0" w:color="auto"/>
              <w:right w:val="single" w:sz="8" w:space="0" w:color="auto"/>
            </w:tcBorders>
            <w:shd w:val="clear" w:color="auto" w:fill="auto"/>
            <w:vAlign w:val="center"/>
            <w:hideMark/>
          </w:tcPr>
          <w:p w14:paraId="204455B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10,9%</w:t>
            </w:r>
          </w:p>
        </w:tc>
      </w:tr>
      <w:tr w:rsidR="0079254B" w:rsidRPr="0079254B" w14:paraId="49763161"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E1A677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Spania</w:t>
            </w:r>
          </w:p>
        </w:tc>
        <w:tc>
          <w:tcPr>
            <w:tcW w:w="960" w:type="dxa"/>
            <w:tcBorders>
              <w:top w:val="nil"/>
              <w:left w:val="nil"/>
              <w:bottom w:val="single" w:sz="8" w:space="0" w:color="auto"/>
              <w:right w:val="single" w:sz="8" w:space="0" w:color="auto"/>
            </w:tcBorders>
            <w:shd w:val="clear" w:color="auto" w:fill="auto"/>
            <w:vAlign w:val="center"/>
            <w:hideMark/>
          </w:tcPr>
          <w:p w14:paraId="75FFBC4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21,1%</w:t>
            </w:r>
          </w:p>
        </w:tc>
        <w:tc>
          <w:tcPr>
            <w:tcW w:w="960" w:type="dxa"/>
            <w:tcBorders>
              <w:top w:val="nil"/>
              <w:left w:val="nil"/>
              <w:bottom w:val="single" w:sz="8" w:space="0" w:color="auto"/>
              <w:right w:val="single" w:sz="8" w:space="0" w:color="auto"/>
            </w:tcBorders>
            <w:shd w:val="clear" w:color="auto" w:fill="auto"/>
            <w:vAlign w:val="center"/>
            <w:hideMark/>
          </w:tcPr>
          <w:p w14:paraId="6EE6182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4,4%</w:t>
            </w:r>
          </w:p>
        </w:tc>
        <w:tc>
          <w:tcPr>
            <w:tcW w:w="960" w:type="dxa"/>
            <w:tcBorders>
              <w:top w:val="nil"/>
              <w:left w:val="nil"/>
              <w:bottom w:val="single" w:sz="8" w:space="0" w:color="auto"/>
              <w:right w:val="single" w:sz="8" w:space="0" w:color="auto"/>
            </w:tcBorders>
            <w:shd w:val="clear" w:color="auto" w:fill="auto"/>
            <w:vAlign w:val="center"/>
            <w:hideMark/>
          </w:tcPr>
          <w:p w14:paraId="0C38700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-0,4%</w:t>
            </w:r>
          </w:p>
        </w:tc>
        <w:tc>
          <w:tcPr>
            <w:tcW w:w="960" w:type="dxa"/>
            <w:tcBorders>
              <w:top w:val="nil"/>
              <w:left w:val="nil"/>
              <w:bottom w:val="single" w:sz="8" w:space="0" w:color="auto"/>
              <w:right w:val="single" w:sz="8" w:space="0" w:color="auto"/>
            </w:tcBorders>
            <w:shd w:val="clear" w:color="auto" w:fill="auto"/>
            <w:vAlign w:val="center"/>
            <w:hideMark/>
          </w:tcPr>
          <w:p w14:paraId="6C2F4FE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-4,4%</w:t>
            </w:r>
          </w:p>
        </w:tc>
        <w:tc>
          <w:tcPr>
            <w:tcW w:w="960" w:type="dxa"/>
            <w:tcBorders>
              <w:top w:val="nil"/>
              <w:left w:val="nil"/>
              <w:bottom w:val="single" w:sz="8" w:space="0" w:color="auto"/>
              <w:right w:val="single" w:sz="8" w:space="0" w:color="auto"/>
            </w:tcBorders>
            <w:shd w:val="clear" w:color="auto" w:fill="auto"/>
            <w:vAlign w:val="center"/>
            <w:hideMark/>
          </w:tcPr>
          <w:p w14:paraId="6E193F0F"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-2,1%</w:t>
            </w:r>
          </w:p>
        </w:tc>
        <w:tc>
          <w:tcPr>
            <w:tcW w:w="960" w:type="dxa"/>
            <w:tcBorders>
              <w:top w:val="nil"/>
              <w:left w:val="nil"/>
              <w:bottom w:val="single" w:sz="8" w:space="0" w:color="auto"/>
              <w:right w:val="single" w:sz="8" w:space="0" w:color="auto"/>
            </w:tcBorders>
            <w:shd w:val="clear" w:color="auto" w:fill="auto"/>
            <w:vAlign w:val="center"/>
            <w:hideMark/>
          </w:tcPr>
          <w:p w14:paraId="5995234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9,6%</w:t>
            </w:r>
          </w:p>
        </w:tc>
      </w:tr>
      <w:tr w:rsidR="0079254B" w:rsidRPr="0079254B" w14:paraId="592BB1D2"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6513BF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Irlanda</w:t>
            </w:r>
          </w:p>
        </w:tc>
        <w:tc>
          <w:tcPr>
            <w:tcW w:w="960" w:type="dxa"/>
            <w:tcBorders>
              <w:top w:val="nil"/>
              <w:left w:val="nil"/>
              <w:bottom w:val="single" w:sz="8" w:space="0" w:color="auto"/>
              <w:right w:val="single" w:sz="8" w:space="0" w:color="auto"/>
            </w:tcBorders>
            <w:shd w:val="clear" w:color="auto" w:fill="auto"/>
            <w:vAlign w:val="center"/>
            <w:hideMark/>
          </w:tcPr>
          <w:p w14:paraId="05774C6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1,8%</w:t>
            </w:r>
          </w:p>
        </w:tc>
        <w:tc>
          <w:tcPr>
            <w:tcW w:w="960" w:type="dxa"/>
            <w:tcBorders>
              <w:top w:val="nil"/>
              <w:left w:val="nil"/>
              <w:bottom w:val="single" w:sz="8" w:space="0" w:color="auto"/>
              <w:right w:val="single" w:sz="8" w:space="0" w:color="auto"/>
            </w:tcBorders>
            <w:shd w:val="clear" w:color="auto" w:fill="auto"/>
            <w:vAlign w:val="center"/>
            <w:hideMark/>
          </w:tcPr>
          <w:p w14:paraId="4CB9D53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-1,1%</w:t>
            </w:r>
          </w:p>
        </w:tc>
        <w:tc>
          <w:tcPr>
            <w:tcW w:w="960" w:type="dxa"/>
            <w:tcBorders>
              <w:top w:val="nil"/>
              <w:left w:val="nil"/>
              <w:bottom w:val="single" w:sz="8" w:space="0" w:color="auto"/>
              <w:right w:val="single" w:sz="8" w:space="0" w:color="auto"/>
            </w:tcBorders>
            <w:shd w:val="clear" w:color="auto" w:fill="auto"/>
            <w:vAlign w:val="center"/>
            <w:hideMark/>
          </w:tcPr>
          <w:p w14:paraId="10349C3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4,2%</w:t>
            </w:r>
          </w:p>
        </w:tc>
        <w:tc>
          <w:tcPr>
            <w:tcW w:w="960" w:type="dxa"/>
            <w:tcBorders>
              <w:top w:val="nil"/>
              <w:left w:val="nil"/>
              <w:bottom w:val="single" w:sz="8" w:space="0" w:color="auto"/>
              <w:right w:val="single" w:sz="8" w:space="0" w:color="auto"/>
            </w:tcBorders>
            <w:shd w:val="clear" w:color="auto" w:fill="auto"/>
            <w:vAlign w:val="center"/>
            <w:hideMark/>
          </w:tcPr>
          <w:p w14:paraId="4D5A5EB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w:t>
            </w:r>
          </w:p>
        </w:tc>
        <w:tc>
          <w:tcPr>
            <w:tcW w:w="960" w:type="dxa"/>
            <w:tcBorders>
              <w:top w:val="nil"/>
              <w:left w:val="nil"/>
              <w:bottom w:val="single" w:sz="8" w:space="0" w:color="auto"/>
              <w:right w:val="single" w:sz="8" w:space="0" w:color="auto"/>
            </w:tcBorders>
            <w:shd w:val="clear" w:color="auto" w:fill="auto"/>
            <w:vAlign w:val="center"/>
            <w:hideMark/>
          </w:tcPr>
          <w:p w14:paraId="1EEFB5A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0,1%</w:t>
            </w:r>
          </w:p>
        </w:tc>
        <w:tc>
          <w:tcPr>
            <w:tcW w:w="960" w:type="dxa"/>
            <w:tcBorders>
              <w:top w:val="nil"/>
              <w:left w:val="nil"/>
              <w:bottom w:val="single" w:sz="8" w:space="0" w:color="auto"/>
              <w:right w:val="single" w:sz="8" w:space="0" w:color="auto"/>
            </w:tcBorders>
            <w:shd w:val="clear" w:color="auto" w:fill="auto"/>
            <w:vAlign w:val="center"/>
            <w:hideMark/>
          </w:tcPr>
          <w:p w14:paraId="6D1852C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9,4%</w:t>
            </w:r>
          </w:p>
        </w:tc>
      </w:tr>
      <w:tr w:rsidR="0079254B" w:rsidRPr="0079254B" w14:paraId="423A7C61"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C519AE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Lituania</w:t>
            </w:r>
          </w:p>
        </w:tc>
        <w:tc>
          <w:tcPr>
            <w:tcW w:w="960" w:type="dxa"/>
            <w:tcBorders>
              <w:top w:val="nil"/>
              <w:left w:val="nil"/>
              <w:bottom w:val="single" w:sz="8" w:space="0" w:color="auto"/>
              <w:right w:val="single" w:sz="8" w:space="0" w:color="auto"/>
            </w:tcBorders>
            <w:shd w:val="clear" w:color="auto" w:fill="auto"/>
            <w:vAlign w:val="center"/>
            <w:hideMark/>
          </w:tcPr>
          <w:p w14:paraId="61B18DE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36,6%</w:t>
            </w:r>
          </w:p>
        </w:tc>
        <w:tc>
          <w:tcPr>
            <w:tcW w:w="960" w:type="dxa"/>
            <w:tcBorders>
              <w:top w:val="nil"/>
              <w:left w:val="nil"/>
              <w:bottom w:val="single" w:sz="8" w:space="0" w:color="auto"/>
              <w:right w:val="single" w:sz="8" w:space="0" w:color="auto"/>
            </w:tcBorders>
            <w:shd w:val="clear" w:color="auto" w:fill="auto"/>
            <w:vAlign w:val="center"/>
            <w:hideMark/>
          </w:tcPr>
          <w:p w14:paraId="739DB10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6,2%</w:t>
            </w:r>
          </w:p>
        </w:tc>
        <w:tc>
          <w:tcPr>
            <w:tcW w:w="960" w:type="dxa"/>
            <w:tcBorders>
              <w:top w:val="nil"/>
              <w:left w:val="nil"/>
              <w:bottom w:val="single" w:sz="8" w:space="0" w:color="auto"/>
              <w:right w:val="single" w:sz="8" w:space="0" w:color="auto"/>
            </w:tcBorders>
            <w:shd w:val="clear" w:color="auto" w:fill="auto"/>
            <w:vAlign w:val="center"/>
            <w:hideMark/>
          </w:tcPr>
          <w:p w14:paraId="039E53A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5,6%</w:t>
            </w:r>
          </w:p>
        </w:tc>
        <w:tc>
          <w:tcPr>
            <w:tcW w:w="960" w:type="dxa"/>
            <w:tcBorders>
              <w:top w:val="nil"/>
              <w:left w:val="nil"/>
              <w:bottom w:val="single" w:sz="8" w:space="0" w:color="auto"/>
              <w:right w:val="single" w:sz="8" w:space="0" w:color="auto"/>
            </w:tcBorders>
            <w:shd w:val="clear" w:color="auto" w:fill="auto"/>
            <w:vAlign w:val="center"/>
            <w:hideMark/>
          </w:tcPr>
          <w:p w14:paraId="6BFB36E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1,3%</w:t>
            </w:r>
          </w:p>
        </w:tc>
        <w:tc>
          <w:tcPr>
            <w:tcW w:w="960" w:type="dxa"/>
            <w:tcBorders>
              <w:top w:val="nil"/>
              <w:left w:val="nil"/>
              <w:bottom w:val="single" w:sz="8" w:space="0" w:color="auto"/>
              <w:right w:val="single" w:sz="8" w:space="0" w:color="auto"/>
            </w:tcBorders>
            <w:shd w:val="clear" w:color="auto" w:fill="auto"/>
            <w:vAlign w:val="center"/>
            <w:hideMark/>
          </w:tcPr>
          <w:p w14:paraId="1F763FF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-2,9%</w:t>
            </w:r>
          </w:p>
        </w:tc>
        <w:tc>
          <w:tcPr>
            <w:tcW w:w="960" w:type="dxa"/>
            <w:tcBorders>
              <w:top w:val="nil"/>
              <w:left w:val="nil"/>
              <w:bottom w:val="single" w:sz="8" w:space="0" w:color="auto"/>
              <w:right w:val="single" w:sz="8" w:space="0" w:color="auto"/>
            </w:tcBorders>
            <w:shd w:val="clear" w:color="auto" w:fill="auto"/>
            <w:vAlign w:val="center"/>
            <w:hideMark/>
          </w:tcPr>
          <w:p w14:paraId="167FDC7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8,8%</w:t>
            </w:r>
          </w:p>
        </w:tc>
      </w:tr>
      <w:tr w:rsidR="0079254B" w:rsidRPr="0079254B" w14:paraId="718DB4D0"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8C26E5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Estonia</w:t>
            </w:r>
          </w:p>
        </w:tc>
        <w:tc>
          <w:tcPr>
            <w:tcW w:w="960" w:type="dxa"/>
            <w:tcBorders>
              <w:top w:val="nil"/>
              <w:left w:val="nil"/>
              <w:bottom w:val="single" w:sz="8" w:space="0" w:color="auto"/>
              <w:right w:val="single" w:sz="8" w:space="0" w:color="auto"/>
            </w:tcBorders>
            <w:shd w:val="clear" w:color="auto" w:fill="auto"/>
            <w:vAlign w:val="center"/>
            <w:hideMark/>
          </w:tcPr>
          <w:p w14:paraId="360F653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5,1%</w:t>
            </w:r>
          </w:p>
        </w:tc>
        <w:tc>
          <w:tcPr>
            <w:tcW w:w="960" w:type="dxa"/>
            <w:tcBorders>
              <w:top w:val="nil"/>
              <w:left w:val="nil"/>
              <w:bottom w:val="single" w:sz="8" w:space="0" w:color="auto"/>
              <w:right w:val="single" w:sz="8" w:space="0" w:color="auto"/>
            </w:tcBorders>
            <w:shd w:val="clear" w:color="auto" w:fill="auto"/>
            <w:vAlign w:val="center"/>
            <w:hideMark/>
          </w:tcPr>
          <w:p w14:paraId="07AB64A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6,4%</w:t>
            </w:r>
          </w:p>
        </w:tc>
        <w:tc>
          <w:tcPr>
            <w:tcW w:w="960" w:type="dxa"/>
            <w:tcBorders>
              <w:top w:val="nil"/>
              <w:left w:val="nil"/>
              <w:bottom w:val="single" w:sz="8" w:space="0" w:color="auto"/>
              <w:right w:val="single" w:sz="8" w:space="0" w:color="auto"/>
            </w:tcBorders>
            <w:shd w:val="clear" w:color="auto" w:fill="auto"/>
            <w:vAlign w:val="center"/>
            <w:hideMark/>
          </w:tcPr>
          <w:p w14:paraId="5541E4F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-0,3%</w:t>
            </w:r>
          </w:p>
        </w:tc>
        <w:tc>
          <w:tcPr>
            <w:tcW w:w="960" w:type="dxa"/>
            <w:tcBorders>
              <w:top w:val="nil"/>
              <w:left w:val="nil"/>
              <w:bottom w:val="single" w:sz="8" w:space="0" w:color="auto"/>
              <w:right w:val="single" w:sz="8" w:space="0" w:color="auto"/>
            </w:tcBorders>
            <w:shd w:val="clear" w:color="auto" w:fill="auto"/>
            <w:vAlign w:val="center"/>
            <w:hideMark/>
          </w:tcPr>
          <w:p w14:paraId="5BF9A05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0,9%</w:t>
            </w:r>
          </w:p>
        </w:tc>
        <w:tc>
          <w:tcPr>
            <w:tcW w:w="960" w:type="dxa"/>
            <w:tcBorders>
              <w:top w:val="nil"/>
              <w:left w:val="nil"/>
              <w:bottom w:val="single" w:sz="8" w:space="0" w:color="auto"/>
              <w:right w:val="single" w:sz="8" w:space="0" w:color="auto"/>
            </w:tcBorders>
            <w:shd w:val="clear" w:color="auto" w:fill="auto"/>
            <w:vAlign w:val="center"/>
            <w:hideMark/>
          </w:tcPr>
          <w:p w14:paraId="1288DD7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-6,5%</w:t>
            </w:r>
          </w:p>
        </w:tc>
        <w:tc>
          <w:tcPr>
            <w:tcW w:w="960" w:type="dxa"/>
            <w:tcBorders>
              <w:top w:val="nil"/>
              <w:left w:val="nil"/>
              <w:bottom w:val="single" w:sz="8" w:space="0" w:color="auto"/>
              <w:right w:val="single" w:sz="8" w:space="0" w:color="auto"/>
            </w:tcBorders>
            <w:shd w:val="clear" w:color="auto" w:fill="auto"/>
            <w:vAlign w:val="center"/>
            <w:hideMark/>
          </w:tcPr>
          <w:p w14:paraId="27A49FA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7,7%</w:t>
            </w:r>
          </w:p>
        </w:tc>
      </w:tr>
      <w:tr w:rsidR="0079254B" w:rsidRPr="0079254B" w14:paraId="67314494"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45E860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Malta</w:t>
            </w:r>
          </w:p>
        </w:tc>
        <w:tc>
          <w:tcPr>
            <w:tcW w:w="960" w:type="dxa"/>
            <w:tcBorders>
              <w:top w:val="nil"/>
              <w:left w:val="nil"/>
              <w:bottom w:val="single" w:sz="8" w:space="0" w:color="auto"/>
              <w:right w:val="single" w:sz="8" w:space="0" w:color="auto"/>
            </w:tcBorders>
            <w:shd w:val="clear" w:color="auto" w:fill="auto"/>
            <w:vAlign w:val="center"/>
            <w:hideMark/>
          </w:tcPr>
          <w:p w14:paraId="194874C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0,9%</w:t>
            </w:r>
          </w:p>
        </w:tc>
        <w:tc>
          <w:tcPr>
            <w:tcW w:w="960" w:type="dxa"/>
            <w:tcBorders>
              <w:top w:val="nil"/>
              <w:left w:val="nil"/>
              <w:bottom w:val="single" w:sz="8" w:space="0" w:color="auto"/>
              <w:right w:val="single" w:sz="8" w:space="0" w:color="auto"/>
            </w:tcBorders>
            <w:shd w:val="clear" w:color="auto" w:fill="auto"/>
            <w:vAlign w:val="center"/>
            <w:hideMark/>
          </w:tcPr>
          <w:p w14:paraId="0BB43BD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0,6%</w:t>
            </w:r>
          </w:p>
        </w:tc>
        <w:tc>
          <w:tcPr>
            <w:tcW w:w="960" w:type="dxa"/>
            <w:tcBorders>
              <w:top w:val="nil"/>
              <w:left w:val="nil"/>
              <w:bottom w:val="single" w:sz="8" w:space="0" w:color="auto"/>
              <w:right w:val="single" w:sz="8" w:space="0" w:color="auto"/>
            </w:tcBorders>
            <w:shd w:val="clear" w:color="auto" w:fill="auto"/>
            <w:vAlign w:val="center"/>
            <w:hideMark/>
          </w:tcPr>
          <w:p w14:paraId="1C68D9F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0,8%</w:t>
            </w:r>
          </w:p>
        </w:tc>
        <w:tc>
          <w:tcPr>
            <w:tcW w:w="960" w:type="dxa"/>
            <w:tcBorders>
              <w:top w:val="nil"/>
              <w:left w:val="nil"/>
              <w:bottom w:val="single" w:sz="8" w:space="0" w:color="auto"/>
              <w:right w:val="single" w:sz="8" w:space="0" w:color="auto"/>
            </w:tcBorders>
            <w:shd w:val="clear" w:color="auto" w:fill="auto"/>
            <w:vAlign w:val="center"/>
            <w:hideMark/>
          </w:tcPr>
          <w:p w14:paraId="7D7E7BF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w:t>
            </w:r>
          </w:p>
        </w:tc>
        <w:tc>
          <w:tcPr>
            <w:tcW w:w="960" w:type="dxa"/>
            <w:tcBorders>
              <w:top w:val="nil"/>
              <w:left w:val="nil"/>
              <w:bottom w:val="single" w:sz="8" w:space="0" w:color="auto"/>
              <w:right w:val="single" w:sz="8" w:space="0" w:color="auto"/>
            </w:tcBorders>
            <w:shd w:val="clear" w:color="auto" w:fill="auto"/>
            <w:vAlign w:val="center"/>
            <w:hideMark/>
          </w:tcPr>
          <w:p w14:paraId="7865DAF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-1,3%</w:t>
            </w:r>
          </w:p>
        </w:tc>
        <w:tc>
          <w:tcPr>
            <w:tcW w:w="960" w:type="dxa"/>
            <w:tcBorders>
              <w:top w:val="nil"/>
              <w:left w:val="nil"/>
              <w:bottom w:val="single" w:sz="8" w:space="0" w:color="auto"/>
              <w:right w:val="single" w:sz="8" w:space="0" w:color="auto"/>
            </w:tcBorders>
            <w:shd w:val="clear" w:color="auto" w:fill="auto"/>
            <w:vAlign w:val="center"/>
            <w:hideMark/>
          </w:tcPr>
          <w:p w14:paraId="768F014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6,8%</w:t>
            </w:r>
          </w:p>
        </w:tc>
      </w:tr>
      <w:tr w:rsidR="0079254B" w:rsidRPr="0079254B" w14:paraId="7D9DD186"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20D3B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Cehia</w:t>
            </w:r>
          </w:p>
        </w:tc>
        <w:tc>
          <w:tcPr>
            <w:tcW w:w="960" w:type="dxa"/>
            <w:tcBorders>
              <w:top w:val="nil"/>
              <w:left w:val="nil"/>
              <w:bottom w:val="single" w:sz="8" w:space="0" w:color="auto"/>
              <w:right w:val="single" w:sz="8" w:space="0" w:color="auto"/>
            </w:tcBorders>
            <w:shd w:val="clear" w:color="auto" w:fill="auto"/>
            <w:vAlign w:val="center"/>
            <w:hideMark/>
          </w:tcPr>
          <w:p w14:paraId="4E67915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7,3%</w:t>
            </w:r>
          </w:p>
        </w:tc>
        <w:tc>
          <w:tcPr>
            <w:tcW w:w="960" w:type="dxa"/>
            <w:tcBorders>
              <w:top w:val="nil"/>
              <w:left w:val="nil"/>
              <w:bottom w:val="single" w:sz="8" w:space="0" w:color="auto"/>
              <w:right w:val="single" w:sz="8" w:space="0" w:color="auto"/>
            </w:tcBorders>
            <w:shd w:val="clear" w:color="auto" w:fill="auto"/>
            <w:vAlign w:val="center"/>
            <w:hideMark/>
          </w:tcPr>
          <w:p w14:paraId="763F795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5,4%</w:t>
            </w:r>
          </w:p>
        </w:tc>
        <w:tc>
          <w:tcPr>
            <w:tcW w:w="960" w:type="dxa"/>
            <w:tcBorders>
              <w:top w:val="nil"/>
              <w:left w:val="nil"/>
              <w:bottom w:val="single" w:sz="8" w:space="0" w:color="auto"/>
              <w:right w:val="single" w:sz="8" w:space="0" w:color="auto"/>
            </w:tcBorders>
            <w:shd w:val="clear" w:color="auto" w:fill="auto"/>
            <w:vAlign w:val="center"/>
            <w:hideMark/>
          </w:tcPr>
          <w:p w14:paraId="7C1FDEE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1,9%</w:t>
            </w:r>
          </w:p>
        </w:tc>
        <w:tc>
          <w:tcPr>
            <w:tcW w:w="960" w:type="dxa"/>
            <w:tcBorders>
              <w:top w:val="nil"/>
              <w:left w:val="nil"/>
              <w:bottom w:val="single" w:sz="8" w:space="0" w:color="auto"/>
              <w:right w:val="single" w:sz="8" w:space="0" w:color="auto"/>
            </w:tcBorders>
            <w:shd w:val="clear" w:color="auto" w:fill="auto"/>
            <w:vAlign w:val="center"/>
            <w:hideMark/>
          </w:tcPr>
          <w:p w14:paraId="6DB7BA3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w:t>
            </w:r>
          </w:p>
        </w:tc>
        <w:tc>
          <w:tcPr>
            <w:tcW w:w="960" w:type="dxa"/>
            <w:tcBorders>
              <w:top w:val="nil"/>
              <w:left w:val="nil"/>
              <w:bottom w:val="single" w:sz="8" w:space="0" w:color="auto"/>
              <w:right w:val="single" w:sz="8" w:space="0" w:color="auto"/>
            </w:tcBorders>
            <w:shd w:val="clear" w:color="auto" w:fill="auto"/>
            <w:vAlign w:val="center"/>
            <w:hideMark/>
          </w:tcPr>
          <w:p w14:paraId="3C6F5F3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-10,3%</w:t>
            </w:r>
          </w:p>
        </w:tc>
        <w:tc>
          <w:tcPr>
            <w:tcW w:w="960" w:type="dxa"/>
            <w:tcBorders>
              <w:top w:val="nil"/>
              <w:left w:val="nil"/>
              <w:bottom w:val="single" w:sz="8" w:space="0" w:color="auto"/>
              <w:right w:val="single" w:sz="8" w:space="0" w:color="auto"/>
            </w:tcBorders>
            <w:shd w:val="clear" w:color="auto" w:fill="auto"/>
            <w:vAlign w:val="center"/>
            <w:hideMark/>
          </w:tcPr>
          <w:p w14:paraId="17A3AFD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6,4%</w:t>
            </w:r>
          </w:p>
        </w:tc>
      </w:tr>
      <w:tr w:rsidR="0079254B" w:rsidRPr="0079254B" w14:paraId="327C8A7C"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A7BFCA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Grecia</w:t>
            </w:r>
          </w:p>
        </w:tc>
        <w:tc>
          <w:tcPr>
            <w:tcW w:w="960" w:type="dxa"/>
            <w:tcBorders>
              <w:top w:val="nil"/>
              <w:left w:val="nil"/>
              <w:bottom w:val="single" w:sz="8" w:space="0" w:color="auto"/>
              <w:right w:val="single" w:sz="8" w:space="0" w:color="auto"/>
            </w:tcBorders>
            <w:shd w:val="clear" w:color="auto" w:fill="auto"/>
            <w:vAlign w:val="center"/>
            <w:hideMark/>
          </w:tcPr>
          <w:p w14:paraId="7197D5E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-0,5%</w:t>
            </w:r>
          </w:p>
        </w:tc>
        <w:tc>
          <w:tcPr>
            <w:tcW w:w="960" w:type="dxa"/>
            <w:tcBorders>
              <w:top w:val="nil"/>
              <w:left w:val="nil"/>
              <w:bottom w:val="single" w:sz="8" w:space="0" w:color="auto"/>
              <w:right w:val="single" w:sz="8" w:space="0" w:color="auto"/>
            </w:tcBorders>
            <w:shd w:val="clear" w:color="auto" w:fill="auto"/>
            <w:vAlign w:val="center"/>
            <w:hideMark/>
          </w:tcPr>
          <w:p w14:paraId="68F5CCD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9,7%</w:t>
            </w:r>
          </w:p>
        </w:tc>
        <w:tc>
          <w:tcPr>
            <w:tcW w:w="960" w:type="dxa"/>
            <w:tcBorders>
              <w:top w:val="nil"/>
              <w:left w:val="nil"/>
              <w:bottom w:val="single" w:sz="8" w:space="0" w:color="auto"/>
              <w:right w:val="single" w:sz="8" w:space="0" w:color="auto"/>
            </w:tcBorders>
            <w:shd w:val="clear" w:color="auto" w:fill="auto"/>
            <w:vAlign w:val="center"/>
            <w:hideMark/>
          </w:tcPr>
          <w:p w14:paraId="38C050B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2,5%</w:t>
            </w:r>
          </w:p>
        </w:tc>
        <w:tc>
          <w:tcPr>
            <w:tcW w:w="960" w:type="dxa"/>
            <w:tcBorders>
              <w:top w:val="nil"/>
              <w:left w:val="nil"/>
              <w:bottom w:val="single" w:sz="8" w:space="0" w:color="auto"/>
              <w:right w:val="single" w:sz="8" w:space="0" w:color="auto"/>
            </w:tcBorders>
            <w:shd w:val="clear" w:color="auto" w:fill="auto"/>
            <w:vAlign w:val="center"/>
            <w:hideMark/>
          </w:tcPr>
          <w:p w14:paraId="44E5329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-3,3%</w:t>
            </w:r>
          </w:p>
        </w:tc>
        <w:tc>
          <w:tcPr>
            <w:tcW w:w="960" w:type="dxa"/>
            <w:tcBorders>
              <w:top w:val="nil"/>
              <w:left w:val="nil"/>
              <w:bottom w:val="single" w:sz="8" w:space="0" w:color="auto"/>
              <w:right w:val="single" w:sz="8" w:space="0" w:color="auto"/>
            </w:tcBorders>
            <w:shd w:val="clear" w:color="auto" w:fill="auto"/>
            <w:vAlign w:val="center"/>
            <w:hideMark/>
          </w:tcPr>
          <w:p w14:paraId="27D2372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0,2%</w:t>
            </w:r>
          </w:p>
        </w:tc>
        <w:tc>
          <w:tcPr>
            <w:tcW w:w="960" w:type="dxa"/>
            <w:tcBorders>
              <w:top w:val="nil"/>
              <w:left w:val="nil"/>
              <w:bottom w:val="single" w:sz="8" w:space="0" w:color="auto"/>
              <w:right w:val="single" w:sz="8" w:space="0" w:color="auto"/>
            </w:tcBorders>
            <w:shd w:val="clear" w:color="auto" w:fill="auto"/>
            <w:vAlign w:val="center"/>
            <w:hideMark/>
          </w:tcPr>
          <w:p w14:paraId="469A8F6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w:t>
            </w:r>
          </w:p>
        </w:tc>
      </w:tr>
      <w:tr w:rsidR="0079254B" w:rsidRPr="0079254B" w14:paraId="1535C1C6"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ED97AA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Portugalia</w:t>
            </w:r>
          </w:p>
        </w:tc>
        <w:tc>
          <w:tcPr>
            <w:tcW w:w="960" w:type="dxa"/>
            <w:tcBorders>
              <w:top w:val="nil"/>
              <w:left w:val="nil"/>
              <w:bottom w:val="single" w:sz="8" w:space="0" w:color="auto"/>
              <w:right w:val="single" w:sz="8" w:space="0" w:color="auto"/>
            </w:tcBorders>
            <w:shd w:val="clear" w:color="auto" w:fill="auto"/>
            <w:vAlign w:val="center"/>
            <w:hideMark/>
          </w:tcPr>
          <w:p w14:paraId="28426C8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2,8%</w:t>
            </w:r>
          </w:p>
        </w:tc>
        <w:tc>
          <w:tcPr>
            <w:tcW w:w="960" w:type="dxa"/>
            <w:tcBorders>
              <w:top w:val="nil"/>
              <w:left w:val="nil"/>
              <w:bottom w:val="single" w:sz="8" w:space="0" w:color="auto"/>
              <w:right w:val="single" w:sz="8" w:space="0" w:color="auto"/>
            </w:tcBorders>
            <w:shd w:val="clear" w:color="auto" w:fill="auto"/>
            <w:vAlign w:val="center"/>
            <w:hideMark/>
          </w:tcPr>
          <w:p w14:paraId="174B0CA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5%</w:t>
            </w:r>
          </w:p>
        </w:tc>
        <w:tc>
          <w:tcPr>
            <w:tcW w:w="960" w:type="dxa"/>
            <w:tcBorders>
              <w:top w:val="nil"/>
              <w:left w:val="nil"/>
              <w:bottom w:val="single" w:sz="8" w:space="0" w:color="auto"/>
              <w:right w:val="single" w:sz="8" w:space="0" w:color="auto"/>
            </w:tcBorders>
            <w:shd w:val="clear" w:color="auto" w:fill="auto"/>
            <w:vAlign w:val="center"/>
            <w:hideMark/>
          </w:tcPr>
          <w:p w14:paraId="35313BAF"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4,5%</w:t>
            </w:r>
          </w:p>
        </w:tc>
        <w:tc>
          <w:tcPr>
            <w:tcW w:w="960" w:type="dxa"/>
            <w:tcBorders>
              <w:top w:val="nil"/>
              <w:left w:val="nil"/>
              <w:bottom w:val="single" w:sz="8" w:space="0" w:color="auto"/>
              <w:right w:val="single" w:sz="8" w:space="0" w:color="auto"/>
            </w:tcBorders>
            <w:shd w:val="clear" w:color="auto" w:fill="auto"/>
            <w:vAlign w:val="center"/>
            <w:hideMark/>
          </w:tcPr>
          <w:p w14:paraId="3CCB7A5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2,5%</w:t>
            </w:r>
          </w:p>
        </w:tc>
        <w:tc>
          <w:tcPr>
            <w:tcW w:w="960" w:type="dxa"/>
            <w:tcBorders>
              <w:top w:val="nil"/>
              <w:left w:val="nil"/>
              <w:bottom w:val="single" w:sz="8" w:space="0" w:color="auto"/>
              <w:right w:val="single" w:sz="8" w:space="0" w:color="auto"/>
            </w:tcBorders>
            <w:shd w:val="clear" w:color="auto" w:fill="auto"/>
            <w:vAlign w:val="center"/>
            <w:hideMark/>
          </w:tcPr>
          <w:p w14:paraId="65207C2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-0,7%</w:t>
            </w:r>
          </w:p>
        </w:tc>
        <w:tc>
          <w:tcPr>
            <w:tcW w:w="960" w:type="dxa"/>
            <w:tcBorders>
              <w:top w:val="nil"/>
              <w:left w:val="nil"/>
              <w:bottom w:val="single" w:sz="8" w:space="0" w:color="auto"/>
              <w:right w:val="single" w:sz="8" w:space="0" w:color="auto"/>
            </w:tcBorders>
            <w:shd w:val="clear" w:color="auto" w:fill="auto"/>
            <w:vAlign w:val="center"/>
            <w:hideMark/>
          </w:tcPr>
          <w:p w14:paraId="2A4787E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5,3%</w:t>
            </w:r>
          </w:p>
        </w:tc>
      </w:tr>
      <w:tr w:rsidR="0079254B" w:rsidRPr="0079254B" w14:paraId="67A69C67"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57916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Luxemburg</w:t>
            </w:r>
          </w:p>
        </w:tc>
        <w:tc>
          <w:tcPr>
            <w:tcW w:w="960" w:type="dxa"/>
            <w:tcBorders>
              <w:top w:val="nil"/>
              <w:left w:val="nil"/>
              <w:bottom w:val="single" w:sz="8" w:space="0" w:color="auto"/>
              <w:right w:val="single" w:sz="8" w:space="0" w:color="auto"/>
            </w:tcBorders>
            <w:shd w:val="clear" w:color="auto" w:fill="auto"/>
            <w:vAlign w:val="center"/>
            <w:hideMark/>
          </w:tcPr>
          <w:p w14:paraId="1C714F3F"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2,9%</w:t>
            </w:r>
          </w:p>
        </w:tc>
        <w:tc>
          <w:tcPr>
            <w:tcW w:w="960" w:type="dxa"/>
            <w:tcBorders>
              <w:top w:val="nil"/>
              <w:left w:val="nil"/>
              <w:bottom w:val="single" w:sz="8" w:space="0" w:color="auto"/>
              <w:right w:val="single" w:sz="8" w:space="0" w:color="auto"/>
            </w:tcBorders>
            <w:shd w:val="clear" w:color="auto" w:fill="auto"/>
            <w:vAlign w:val="center"/>
            <w:hideMark/>
          </w:tcPr>
          <w:p w14:paraId="41F9D3E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0%</w:t>
            </w:r>
          </w:p>
        </w:tc>
        <w:tc>
          <w:tcPr>
            <w:tcW w:w="960" w:type="dxa"/>
            <w:tcBorders>
              <w:top w:val="nil"/>
              <w:left w:val="nil"/>
              <w:bottom w:val="single" w:sz="8" w:space="0" w:color="auto"/>
              <w:right w:val="single" w:sz="8" w:space="0" w:color="auto"/>
            </w:tcBorders>
            <w:shd w:val="clear" w:color="auto" w:fill="auto"/>
            <w:vAlign w:val="center"/>
            <w:hideMark/>
          </w:tcPr>
          <w:p w14:paraId="2843A26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1,7%</w:t>
            </w:r>
          </w:p>
        </w:tc>
        <w:tc>
          <w:tcPr>
            <w:tcW w:w="960" w:type="dxa"/>
            <w:tcBorders>
              <w:top w:val="nil"/>
              <w:left w:val="nil"/>
              <w:bottom w:val="single" w:sz="8" w:space="0" w:color="auto"/>
              <w:right w:val="single" w:sz="8" w:space="0" w:color="auto"/>
            </w:tcBorders>
            <w:shd w:val="clear" w:color="auto" w:fill="auto"/>
            <w:vAlign w:val="center"/>
            <w:hideMark/>
          </w:tcPr>
          <w:p w14:paraId="45BA46E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w:t>
            </w:r>
          </w:p>
        </w:tc>
        <w:tc>
          <w:tcPr>
            <w:tcW w:w="960" w:type="dxa"/>
            <w:tcBorders>
              <w:top w:val="nil"/>
              <w:left w:val="nil"/>
              <w:bottom w:val="single" w:sz="8" w:space="0" w:color="auto"/>
              <w:right w:val="single" w:sz="8" w:space="0" w:color="auto"/>
            </w:tcBorders>
            <w:shd w:val="clear" w:color="auto" w:fill="auto"/>
            <w:vAlign w:val="center"/>
            <w:hideMark/>
          </w:tcPr>
          <w:p w14:paraId="163FAF1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0%</w:t>
            </w:r>
          </w:p>
        </w:tc>
        <w:tc>
          <w:tcPr>
            <w:tcW w:w="960" w:type="dxa"/>
            <w:tcBorders>
              <w:top w:val="nil"/>
              <w:left w:val="nil"/>
              <w:bottom w:val="single" w:sz="8" w:space="0" w:color="auto"/>
              <w:right w:val="single" w:sz="8" w:space="0" w:color="auto"/>
            </w:tcBorders>
            <w:shd w:val="clear" w:color="auto" w:fill="auto"/>
            <w:vAlign w:val="center"/>
            <w:hideMark/>
          </w:tcPr>
          <w:p w14:paraId="242CD9A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4,6%</w:t>
            </w:r>
          </w:p>
        </w:tc>
      </w:tr>
      <w:tr w:rsidR="0079254B" w:rsidRPr="0079254B" w14:paraId="5863924B"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DCB193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Cipru</w:t>
            </w:r>
          </w:p>
        </w:tc>
        <w:tc>
          <w:tcPr>
            <w:tcW w:w="960" w:type="dxa"/>
            <w:tcBorders>
              <w:top w:val="nil"/>
              <w:left w:val="nil"/>
              <w:bottom w:val="single" w:sz="8" w:space="0" w:color="auto"/>
              <w:right w:val="single" w:sz="8" w:space="0" w:color="auto"/>
            </w:tcBorders>
            <w:shd w:val="clear" w:color="auto" w:fill="auto"/>
            <w:vAlign w:val="center"/>
            <w:hideMark/>
          </w:tcPr>
          <w:p w14:paraId="7393789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w:t>
            </w:r>
          </w:p>
        </w:tc>
        <w:tc>
          <w:tcPr>
            <w:tcW w:w="960" w:type="dxa"/>
            <w:tcBorders>
              <w:top w:val="nil"/>
              <w:left w:val="nil"/>
              <w:bottom w:val="single" w:sz="8" w:space="0" w:color="auto"/>
              <w:right w:val="single" w:sz="8" w:space="0" w:color="auto"/>
            </w:tcBorders>
            <w:shd w:val="clear" w:color="auto" w:fill="auto"/>
            <w:vAlign w:val="center"/>
            <w:hideMark/>
          </w:tcPr>
          <w:p w14:paraId="7B85635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w:t>
            </w:r>
          </w:p>
        </w:tc>
        <w:tc>
          <w:tcPr>
            <w:tcW w:w="960" w:type="dxa"/>
            <w:tcBorders>
              <w:top w:val="nil"/>
              <w:left w:val="nil"/>
              <w:bottom w:val="single" w:sz="8" w:space="0" w:color="auto"/>
              <w:right w:val="single" w:sz="8" w:space="0" w:color="auto"/>
            </w:tcBorders>
            <w:shd w:val="clear" w:color="auto" w:fill="auto"/>
            <w:vAlign w:val="center"/>
            <w:hideMark/>
          </w:tcPr>
          <w:p w14:paraId="4741B70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w:t>
            </w:r>
          </w:p>
        </w:tc>
        <w:tc>
          <w:tcPr>
            <w:tcW w:w="960" w:type="dxa"/>
            <w:tcBorders>
              <w:top w:val="nil"/>
              <w:left w:val="nil"/>
              <w:bottom w:val="single" w:sz="8" w:space="0" w:color="auto"/>
              <w:right w:val="single" w:sz="8" w:space="0" w:color="auto"/>
            </w:tcBorders>
            <w:shd w:val="clear" w:color="auto" w:fill="auto"/>
            <w:vAlign w:val="center"/>
            <w:hideMark/>
          </w:tcPr>
          <w:p w14:paraId="3F179C6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w:t>
            </w:r>
          </w:p>
        </w:tc>
        <w:tc>
          <w:tcPr>
            <w:tcW w:w="960" w:type="dxa"/>
            <w:tcBorders>
              <w:top w:val="nil"/>
              <w:left w:val="nil"/>
              <w:bottom w:val="single" w:sz="8" w:space="0" w:color="auto"/>
              <w:right w:val="single" w:sz="8" w:space="0" w:color="auto"/>
            </w:tcBorders>
            <w:shd w:val="clear" w:color="auto" w:fill="auto"/>
            <w:vAlign w:val="center"/>
            <w:hideMark/>
          </w:tcPr>
          <w:p w14:paraId="07D8D85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w:t>
            </w:r>
          </w:p>
        </w:tc>
        <w:tc>
          <w:tcPr>
            <w:tcW w:w="960" w:type="dxa"/>
            <w:tcBorders>
              <w:top w:val="nil"/>
              <w:left w:val="nil"/>
              <w:bottom w:val="single" w:sz="8" w:space="0" w:color="auto"/>
              <w:right w:val="single" w:sz="8" w:space="0" w:color="auto"/>
            </w:tcBorders>
            <w:shd w:val="clear" w:color="auto" w:fill="auto"/>
            <w:vAlign w:val="center"/>
            <w:hideMark/>
          </w:tcPr>
          <w:p w14:paraId="24F14EA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4,2%</w:t>
            </w:r>
          </w:p>
        </w:tc>
      </w:tr>
      <w:tr w:rsidR="0079254B" w:rsidRPr="0079254B" w14:paraId="10F3E057"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EF02C7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Olanda</w:t>
            </w:r>
          </w:p>
        </w:tc>
        <w:tc>
          <w:tcPr>
            <w:tcW w:w="960" w:type="dxa"/>
            <w:tcBorders>
              <w:top w:val="nil"/>
              <w:left w:val="nil"/>
              <w:bottom w:val="single" w:sz="8" w:space="0" w:color="auto"/>
              <w:right w:val="single" w:sz="8" w:space="0" w:color="auto"/>
            </w:tcBorders>
            <w:shd w:val="clear" w:color="auto" w:fill="auto"/>
            <w:vAlign w:val="center"/>
            <w:hideMark/>
          </w:tcPr>
          <w:p w14:paraId="5EE7070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0,4%</w:t>
            </w:r>
          </w:p>
        </w:tc>
        <w:tc>
          <w:tcPr>
            <w:tcW w:w="960" w:type="dxa"/>
            <w:tcBorders>
              <w:top w:val="nil"/>
              <w:left w:val="nil"/>
              <w:bottom w:val="single" w:sz="8" w:space="0" w:color="auto"/>
              <w:right w:val="single" w:sz="8" w:space="0" w:color="auto"/>
            </w:tcBorders>
            <w:shd w:val="clear" w:color="auto" w:fill="auto"/>
            <w:vAlign w:val="center"/>
            <w:hideMark/>
          </w:tcPr>
          <w:p w14:paraId="6004A4A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0,6%</w:t>
            </w:r>
          </w:p>
        </w:tc>
        <w:tc>
          <w:tcPr>
            <w:tcW w:w="960" w:type="dxa"/>
            <w:tcBorders>
              <w:top w:val="nil"/>
              <w:left w:val="nil"/>
              <w:bottom w:val="single" w:sz="8" w:space="0" w:color="auto"/>
              <w:right w:val="single" w:sz="8" w:space="0" w:color="auto"/>
            </w:tcBorders>
            <w:shd w:val="clear" w:color="auto" w:fill="auto"/>
            <w:vAlign w:val="center"/>
            <w:hideMark/>
          </w:tcPr>
          <w:p w14:paraId="2D2E6F9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0,3%</w:t>
            </w:r>
          </w:p>
        </w:tc>
        <w:tc>
          <w:tcPr>
            <w:tcW w:w="960" w:type="dxa"/>
            <w:tcBorders>
              <w:top w:val="nil"/>
              <w:left w:val="nil"/>
              <w:bottom w:val="single" w:sz="8" w:space="0" w:color="auto"/>
              <w:right w:val="single" w:sz="8" w:space="0" w:color="auto"/>
            </w:tcBorders>
            <w:shd w:val="clear" w:color="auto" w:fill="auto"/>
            <w:vAlign w:val="center"/>
            <w:hideMark/>
          </w:tcPr>
          <w:p w14:paraId="697BDF8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-4,8%</w:t>
            </w:r>
          </w:p>
        </w:tc>
        <w:tc>
          <w:tcPr>
            <w:tcW w:w="960" w:type="dxa"/>
            <w:tcBorders>
              <w:top w:val="nil"/>
              <w:left w:val="nil"/>
              <w:bottom w:val="single" w:sz="8" w:space="0" w:color="auto"/>
              <w:right w:val="single" w:sz="8" w:space="0" w:color="auto"/>
            </w:tcBorders>
            <w:shd w:val="clear" w:color="auto" w:fill="auto"/>
            <w:vAlign w:val="center"/>
            <w:hideMark/>
          </w:tcPr>
          <w:p w14:paraId="503B188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3,4%</w:t>
            </w:r>
          </w:p>
        </w:tc>
        <w:tc>
          <w:tcPr>
            <w:tcW w:w="960" w:type="dxa"/>
            <w:tcBorders>
              <w:top w:val="nil"/>
              <w:left w:val="nil"/>
              <w:bottom w:val="single" w:sz="8" w:space="0" w:color="auto"/>
              <w:right w:val="single" w:sz="8" w:space="0" w:color="auto"/>
            </w:tcBorders>
            <w:shd w:val="clear" w:color="auto" w:fill="auto"/>
            <w:vAlign w:val="center"/>
            <w:hideMark/>
          </w:tcPr>
          <w:p w14:paraId="0629E99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3,8%</w:t>
            </w:r>
          </w:p>
        </w:tc>
      </w:tr>
      <w:tr w:rsidR="0079254B" w:rsidRPr="0079254B" w14:paraId="7989BD95"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6F214D6"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Slovacia</w:t>
            </w:r>
          </w:p>
        </w:tc>
        <w:tc>
          <w:tcPr>
            <w:tcW w:w="960" w:type="dxa"/>
            <w:tcBorders>
              <w:top w:val="nil"/>
              <w:left w:val="nil"/>
              <w:bottom w:val="single" w:sz="8" w:space="0" w:color="auto"/>
              <w:right w:val="single" w:sz="8" w:space="0" w:color="auto"/>
            </w:tcBorders>
            <w:shd w:val="clear" w:color="auto" w:fill="auto"/>
            <w:vAlign w:val="center"/>
            <w:hideMark/>
          </w:tcPr>
          <w:p w14:paraId="40164E8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w:t>
            </w:r>
          </w:p>
        </w:tc>
        <w:tc>
          <w:tcPr>
            <w:tcW w:w="960" w:type="dxa"/>
            <w:tcBorders>
              <w:top w:val="nil"/>
              <w:left w:val="nil"/>
              <w:bottom w:val="single" w:sz="8" w:space="0" w:color="auto"/>
              <w:right w:val="single" w:sz="8" w:space="0" w:color="auto"/>
            </w:tcBorders>
            <w:shd w:val="clear" w:color="auto" w:fill="auto"/>
            <w:vAlign w:val="center"/>
            <w:hideMark/>
          </w:tcPr>
          <w:p w14:paraId="32CF636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8,1%</w:t>
            </w:r>
          </w:p>
        </w:tc>
        <w:tc>
          <w:tcPr>
            <w:tcW w:w="960" w:type="dxa"/>
            <w:tcBorders>
              <w:top w:val="nil"/>
              <w:left w:val="nil"/>
              <w:bottom w:val="single" w:sz="8" w:space="0" w:color="auto"/>
              <w:right w:val="single" w:sz="8" w:space="0" w:color="auto"/>
            </w:tcBorders>
            <w:shd w:val="clear" w:color="auto" w:fill="auto"/>
            <w:vAlign w:val="center"/>
            <w:hideMark/>
          </w:tcPr>
          <w:p w14:paraId="5924BEB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6,7%</w:t>
            </w:r>
          </w:p>
        </w:tc>
        <w:tc>
          <w:tcPr>
            <w:tcW w:w="960" w:type="dxa"/>
            <w:tcBorders>
              <w:top w:val="nil"/>
              <w:left w:val="nil"/>
              <w:bottom w:val="single" w:sz="8" w:space="0" w:color="auto"/>
              <w:right w:val="single" w:sz="8" w:space="0" w:color="auto"/>
            </w:tcBorders>
            <w:shd w:val="clear" w:color="auto" w:fill="auto"/>
            <w:vAlign w:val="center"/>
            <w:hideMark/>
          </w:tcPr>
          <w:p w14:paraId="71B4F54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-3,7%</w:t>
            </w:r>
          </w:p>
        </w:tc>
        <w:tc>
          <w:tcPr>
            <w:tcW w:w="960" w:type="dxa"/>
            <w:tcBorders>
              <w:top w:val="nil"/>
              <w:left w:val="nil"/>
              <w:bottom w:val="single" w:sz="8" w:space="0" w:color="auto"/>
              <w:right w:val="single" w:sz="8" w:space="0" w:color="auto"/>
            </w:tcBorders>
            <w:shd w:val="clear" w:color="auto" w:fill="auto"/>
            <w:vAlign w:val="center"/>
            <w:hideMark/>
          </w:tcPr>
          <w:p w14:paraId="46318DB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-5,9%</w:t>
            </w:r>
          </w:p>
        </w:tc>
        <w:tc>
          <w:tcPr>
            <w:tcW w:w="960" w:type="dxa"/>
            <w:tcBorders>
              <w:top w:val="nil"/>
              <w:left w:val="nil"/>
              <w:bottom w:val="single" w:sz="8" w:space="0" w:color="auto"/>
              <w:right w:val="single" w:sz="8" w:space="0" w:color="auto"/>
            </w:tcBorders>
            <w:shd w:val="clear" w:color="auto" w:fill="auto"/>
            <w:vAlign w:val="center"/>
            <w:hideMark/>
          </w:tcPr>
          <w:p w14:paraId="76175E4E"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2,6%</w:t>
            </w:r>
          </w:p>
        </w:tc>
      </w:tr>
      <w:tr w:rsidR="0079254B" w:rsidRPr="0079254B" w14:paraId="571650B0"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43B0905"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România</w:t>
            </w:r>
          </w:p>
        </w:tc>
        <w:tc>
          <w:tcPr>
            <w:tcW w:w="960" w:type="dxa"/>
            <w:tcBorders>
              <w:top w:val="nil"/>
              <w:left w:val="nil"/>
              <w:bottom w:val="single" w:sz="8" w:space="0" w:color="auto"/>
              <w:right w:val="single" w:sz="8" w:space="0" w:color="auto"/>
            </w:tcBorders>
            <w:shd w:val="clear" w:color="auto" w:fill="auto"/>
            <w:vAlign w:val="center"/>
            <w:hideMark/>
          </w:tcPr>
          <w:p w14:paraId="57D5E37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6,1%</w:t>
            </w:r>
          </w:p>
        </w:tc>
        <w:tc>
          <w:tcPr>
            <w:tcW w:w="960" w:type="dxa"/>
            <w:tcBorders>
              <w:top w:val="nil"/>
              <w:left w:val="nil"/>
              <w:bottom w:val="single" w:sz="8" w:space="0" w:color="auto"/>
              <w:right w:val="single" w:sz="8" w:space="0" w:color="auto"/>
            </w:tcBorders>
            <w:shd w:val="clear" w:color="auto" w:fill="auto"/>
            <w:vAlign w:val="center"/>
            <w:hideMark/>
          </w:tcPr>
          <w:p w14:paraId="43839C6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3,2%</w:t>
            </w:r>
          </w:p>
        </w:tc>
        <w:tc>
          <w:tcPr>
            <w:tcW w:w="960" w:type="dxa"/>
            <w:tcBorders>
              <w:top w:val="nil"/>
              <w:left w:val="nil"/>
              <w:bottom w:val="single" w:sz="8" w:space="0" w:color="auto"/>
              <w:right w:val="single" w:sz="8" w:space="0" w:color="auto"/>
            </w:tcBorders>
            <w:shd w:val="clear" w:color="auto" w:fill="auto"/>
            <w:vAlign w:val="center"/>
            <w:hideMark/>
          </w:tcPr>
          <w:p w14:paraId="2B14DFC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w:t>
            </w:r>
          </w:p>
        </w:tc>
        <w:tc>
          <w:tcPr>
            <w:tcW w:w="960" w:type="dxa"/>
            <w:tcBorders>
              <w:top w:val="nil"/>
              <w:left w:val="nil"/>
              <w:bottom w:val="single" w:sz="8" w:space="0" w:color="auto"/>
              <w:right w:val="single" w:sz="8" w:space="0" w:color="auto"/>
            </w:tcBorders>
            <w:shd w:val="clear" w:color="auto" w:fill="auto"/>
            <w:vAlign w:val="center"/>
            <w:hideMark/>
          </w:tcPr>
          <w:p w14:paraId="5AD9E1D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6,7%</w:t>
            </w:r>
          </w:p>
        </w:tc>
        <w:tc>
          <w:tcPr>
            <w:tcW w:w="960" w:type="dxa"/>
            <w:tcBorders>
              <w:top w:val="nil"/>
              <w:left w:val="nil"/>
              <w:bottom w:val="single" w:sz="8" w:space="0" w:color="auto"/>
              <w:right w:val="single" w:sz="8" w:space="0" w:color="auto"/>
            </w:tcBorders>
            <w:shd w:val="clear" w:color="auto" w:fill="auto"/>
            <w:vAlign w:val="center"/>
            <w:hideMark/>
          </w:tcPr>
          <w:p w14:paraId="73BA8578"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3,7%</w:t>
            </w:r>
          </w:p>
        </w:tc>
        <w:tc>
          <w:tcPr>
            <w:tcW w:w="960" w:type="dxa"/>
            <w:tcBorders>
              <w:top w:val="nil"/>
              <w:left w:val="nil"/>
              <w:bottom w:val="single" w:sz="8" w:space="0" w:color="auto"/>
              <w:right w:val="single" w:sz="8" w:space="0" w:color="auto"/>
            </w:tcBorders>
            <w:shd w:val="clear" w:color="auto" w:fill="auto"/>
            <w:vAlign w:val="center"/>
            <w:hideMark/>
          </w:tcPr>
          <w:p w14:paraId="559F308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2,5%</w:t>
            </w:r>
          </w:p>
        </w:tc>
      </w:tr>
      <w:tr w:rsidR="0079254B" w:rsidRPr="0079254B" w14:paraId="76F4BBE5"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E22440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Slovenia</w:t>
            </w:r>
          </w:p>
        </w:tc>
        <w:tc>
          <w:tcPr>
            <w:tcW w:w="960" w:type="dxa"/>
            <w:tcBorders>
              <w:top w:val="nil"/>
              <w:left w:val="nil"/>
              <w:bottom w:val="single" w:sz="8" w:space="0" w:color="auto"/>
              <w:right w:val="single" w:sz="8" w:space="0" w:color="auto"/>
            </w:tcBorders>
            <w:shd w:val="clear" w:color="auto" w:fill="auto"/>
            <w:vAlign w:val="center"/>
            <w:hideMark/>
          </w:tcPr>
          <w:p w14:paraId="5397D2E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4%</w:t>
            </w:r>
          </w:p>
        </w:tc>
        <w:tc>
          <w:tcPr>
            <w:tcW w:w="960" w:type="dxa"/>
            <w:tcBorders>
              <w:top w:val="nil"/>
              <w:left w:val="nil"/>
              <w:bottom w:val="single" w:sz="8" w:space="0" w:color="auto"/>
              <w:right w:val="single" w:sz="8" w:space="0" w:color="auto"/>
            </w:tcBorders>
            <w:shd w:val="clear" w:color="auto" w:fill="auto"/>
            <w:vAlign w:val="center"/>
            <w:hideMark/>
          </w:tcPr>
          <w:p w14:paraId="02838B8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3,7%</w:t>
            </w:r>
          </w:p>
        </w:tc>
        <w:tc>
          <w:tcPr>
            <w:tcW w:w="960" w:type="dxa"/>
            <w:tcBorders>
              <w:top w:val="nil"/>
              <w:left w:val="nil"/>
              <w:bottom w:val="single" w:sz="8" w:space="0" w:color="auto"/>
              <w:right w:val="single" w:sz="8" w:space="0" w:color="auto"/>
            </w:tcBorders>
            <w:shd w:val="clear" w:color="auto" w:fill="auto"/>
            <w:vAlign w:val="center"/>
            <w:hideMark/>
          </w:tcPr>
          <w:p w14:paraId="0B8D04E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9,9%</w:t>
            </w:r>
          </w:p>
        </w:tc>
        <w:tc>
          <w:tcPr>
            <w:tcW w:w="960" w:type="dxa"/>
            <w:tcBorders>
              <w:top w:val="nil"/>
              <w:left w:val="nil"/>
              <w:bottom w:val="single" w:sz="8" w:space="0" w:color="auto"/>
              <w:right w:val="single" w:sz="8" w:space="0" w:color="auto"/>
            </w:tcBorders>
            <w:shd w:val="clear" w:color="auto" w:fill="auto"/>
            <w:vAlign w:val="center"/>
            <w:hideMark/>
          </w:tcPr>
          <w:p w14:paraId="3C00D3C1"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-1,1%</w:t>
            </w:r>
          </w:p>
        </w:tc>
        <w:tc>
          <w:tcPr>
            <w:tcW w:w="960" w:type="dxa"/>
            <w:tcBorders>
              <w:top w:val="nil"/>
              <w:left w:val="nil"/>
              <w:bottom w:val="single" w:sz="8" w:space="0" w:color="auto"/>
              <w:right w:val="single" w:sz="8" w:space="0" w:color="auto"/>
            </w:tcBorders>
            <w:shd w:val="clear" w:color="auto" w:fill="auto"/>
            <w:vAlign w:val="center"/>
            <w:hideMark/>
          </w:tcPr>
          <w:p w14:paraId="06C85D7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1,9%</w:t>
            </w:r>
          </w:p>
        </w:tc>
        <w:tc>
          <w:tcPr>
            <w:tcW w:w="960" w:type="dxa"/>
            <w:tcBorders>
              <w:top w:val="nil"/>
              <w:left w:val="nil"/>
              <w:bottom w:val="single" w:sz="8" w:space="0" w:color="auto"/>
              <w:right w:val="single" w:sz="8" w:space="0" w:color="auto"/>
            </w:tcBorders>
            <w:shd w:val="clear" w:color="auto" w:fill="auto"/>
            <w:vAlign w:val="center"/>
            <w:hideMark/>
          </w:tcPr>
          <w:p w14:paraId="4FB53D1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0,8%</w:t>
            </w:r>
          </w:p>
        </w:tc>
      </w:tr>
      <w:tr w:rsidR="0079254B" w:rsidRPr="0079254B" w14:paraId="2F6FD057"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5D930A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Belgia</w:t>
            </w:r>
          </w:p>
        </w:tc>
        <w:tc>
          <w:tcPr>
            <w:tcW w:w="960" w:type="dxa"/>
            <w:tcBorders>
              <w:top w:val="nil"/>
              <w:left w:val="nil"/>
              <w:bottom w:val="single" w:sz="8" w:space="0" w:color="auto"/>
              <w:right w:val="single" w:sz="8" w:space="0" w:color="auto"/>
            </w:tcBorders>
            <w:shd w:val="clear" w:color="auto" w:fill="auto"/>
            <w:vAlign w:val="center"/>
            <w:hideMark/>
          </w:tcPr>
          <w:p w14:paraId="182C8F9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0,2%</w:t>
            </w:r>
          </w:p>
        </w:tc>
        <w:tc>
          <w:tcPr>
            <w:tcW w:w="960" w:type="dxa"/>
            <w:tcBorders>
              <w:top w:val="nil"/>
              <w:left w:val="nil"/>
              <w:bottom w:val="single" w:sz="8" w:space="0" w:color="auto"/>
              <w:right w:val="single" w:sz="8" w:space="0" w:color="auto"/>
            </w:tcBorders>
            <w:shd w:val="clear" w:color="auto" w:fill="auto"/>
            <w:vAlign w:val="center"/>
            <w:hideMark/>
          </w:tcPr>
          <w:p w14:paraId="008DB00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-1,4%</w:t>
            </w:r>
          </w:p>
        </w:tc>
        <w:tc>
          <w:tcPr>
            <w:tcW w:w="960" w:type="dxa"/>
            <w:tcBorders>
              <w:top w:val="nil"/>
              <w:left w:val="nil"/>
              <w:bottom w:val="single" w:sz="8" w:space="0" w:color="auto"/>
              <w:right w:val="single" w:sz="8" w:space="0" w:color="auto"/>
            </w:tcBorders>
            <w:shd w:val="clear" w:color="auto" w:fill="auto"/>
            <w:vAlign w:val="center"/>
            <w:hideMark/>
          </w:tcPr>
          <w:p w14:paraId="56A604E2"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1,4%</w:t>
            </w:r>
          </w:p>
        </w:tc>
        <w:tc>
          <w:tcPr>
            <w:tcW w:w="960" w:type="dxa"/>
            <w:tcBorders>
              <w:top w:val="nil"/>
              <w:left w:val="nil"/>
              <w:bottom w:val="single" w:sz="8" w:space="0" w:color="auto"/>
              <w:right w:val="single" w:sz="8" w:space="0" w:color="auto"/>
            </w:tcBorders>
            <w:shd w:val="clear" w:color="auto" w:fill="auto"/>
            <w:vAlign w:val="center"/>
            <w:hideMark/>
          </w:tcPr>
          <w:p w14:paraId="3A1628DF"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-6%</w:t>
            </w:r>
          </w:p>
        </w:tc>
        <w:tc>
          <w:tcPr>
            <w:tcW w:w="960" w:type="dxa"/>
            <w:tcBorders>
              <w:top w:val="nil"/>
              <w:left w:val="nil"/>
              <w:bottom w:val="single" w:sz="8" w:space="0" w:color="auto"/>
              <w:right w:val="single" w:sz="8" w:space="0" w:color="auto"/>
            </w:tcBorders>
            <w:shd w:val="clear" w:color="auto" w:fill="auto"/>
            <w:vAlign w:val="center"/>
            <w:hideMark/>
          </w:tcPr>
          <w:p w14:paraId="7F2ABEF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9,8%</w:t>
            </w:r>
          </w:p>
        </w:tc>
        <w:tc>
          <w:tcPr>
            <w:tcW w:w="960" w:type="dxa"/>
            <w:tcBorders>
              <w:top w:val="nil"/>
              <w:left w:val="nil"/>
              <w:bottom w:val="single" w:sz="8" w:space="0" w:color="auto"/>
              <w:right w:val="single" w:sz="8" w:space="0" w:color="auto"/>
            </w:tcBorders>
            <w:shd w:val="clear" w:color="auto" w:fill="auto"/>
            <w:vAlign w:val="center"/>
            <w:hideMark/>
          </w:tcPr>
          <w:p w14:paraId="25EDD0C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0,5%</w:t>
            </w:r>
          </w:p>
        </w:tc>
      </w:tr>
      <w:tr w:rsidR="0079254B" w:rsidRPr="0079254B" w14:paraId="29BC14D2"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F98763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Franța</w:t>
            </w:r>
          </w:p>
        </w:tc>
        <w:tc>
          <w:tcPr>
            <w:tcW w:w="960" w:type="dxa"/>
            <w:tcBorders>
              <w:top w:val="nil"/>
              <w:left w:val="nil"/>
              <w:bottom w:val="single" w:sz="8" w:space="0" w:color="auto"/>
              <w:right w:val="single" w:sz="8" w:space="0" w:color="auto"/>
            </w:tcBorders>
            <w:shd w:val="clear" w:color="auto" w:fill="auto"/>
            <w:vAlign w:val="center"/>
            <w:hideMark/>
          </w:tcPr>
          <w:p w14:paraId="46FC094D"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0,15</w:t>
            </w:r>
          </w:p>
        </w:tc>
        <w:tc>
          <w:tcPr>
            <w:tcW w:w="960" w:type="dxa"/>
            <w:tcBorders>
              <w:top w:val="nil"/>
              <w:left w:val="nil"/>
              <w:bottom w:val="single" w:sz="8" w:space="0" w:color="auto"/>
              <w:right w:val="single" w:sz="8" w:space="0" w:color="auto"/>
            </w:tcBorders>
            <w:shd w:val="clear" w:color="auto" w:fill="auto"/>
            <w:vAlign w:val="center"/>
            <w:hideMark/>
          </w:tcPr>
          <w:p w14:paraId="4DFDA969"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-0,5%</w:t>
            </w:r>
          </w:p>
        </w:tc>
        <w:tc>
          <w:tcPr>
            <w:tcW w:w="960" w:type="dxa"/>
            <w:tcBorders>
              <w:top w:val="nil"/>
              <w:left w:val="nil"/>
              <w:bottom w:val="single" w:sz="8" w:space="0" w:color="auto"/>
              <w:right w:val="single" w:sz="8" w:space="0" w:color="auto"/>
            </w:tcBorders>
            <w:shd w:val="clear" w:color="auto" w:fill="auto"/>
            <w:vAlign w:val="center"/>
            <w:hideMark/>
          </w:tcPr>
          <w:p w14:paraId="17590434"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0,2%</w:t>
            </w:r>
          </w:p>
        </w:tc>
        <w:tc>
          <w:tcPr>
            <w:tcW w:w="960" w:type="dxa"/>
            <w:tcBorders>
              <w:top w:val="nil"/>
              <w:left w:val="nil"/>
              <w:bottom w:val="single" w:sz="8" w:space="0" w:color="auto"/>
              <w:right w:val="single" w:sz="8" w:space="0" w:color="auto"/>
            </w:tcBorders>
            <w:shd w:val="clear" w:color="auto" w:fill="auto"/>
            <w:vAlign w:val="center"/>
            <w:hideMark/>
          </w:tcPr>
          <w:p w14:paraId="4D02F750"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-0,2%</w:t>
            </w:r>
          </w:p>
        </w:tc>
        <w:tc>
          <w:tcPr>
            <w:tcW w:w="960" w:type="dxa"/>
            <w:tcBorders>
              <w:top w:val="nil"/>
              <w:left w:val="nil"/>
              <w:bottom w:val="single" w:sz="8" w:space="0" w:color="auto"/>
              <w:right w:val="single" w:sz="8" w:space="0" w:color="auto"/>
            </w:tcBorders>
            <w:shd w:val="clear" w:color="auto" w:fill="auto"/>
            <w:vAlign w:val="center"/>
            <w:hideMark/>
          </w:tcPr>
          <w:p w14:paraId="05D6894A"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-0,4%</w:t>
            </w:r>
          </w:p>
        </w:tc>
        <w:tc>
          <w:tcPr>
            <w:tcW w:w="960" w:type="dxa"/>
            <w:tcBorders>
              <w:top w:val="nil"/>
              <w:left w:val="nil"/>
              <w:bottom w:val="single" w:sz="8" w:space="0" w:color="auto"/>
              <w:right w:val="single" w:sz="8" w:space="0" w:color="auto"/>
            </w:tcBorders>
            <w:shd w:val="clear" w:color="auto" w:fill="auto"/>
            <w:vAlign w:val="center"/>
            <w:hideMark/>
          </w:tcPr>
          <w:p w14:paraId="125D8B77"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0%</w:t>
            </w:r>
          </w:p>
        </w:tc>
      </w:tr>
      <w:tr w:rsidR="0079254B" w:rsidRPr="0079254B" w14:paraId="143A6BE1" w14:textId="77777777" w:rsidTr="0079254B">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F7785CC"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Germania</w:t>
            </w:r>
          </w:p>
        </w:tc>
        <w:tc>
          <w:tcPr>
            <w:tcW w:w="960" w:type="dxa"/>
            <w:tcBorders>
              <w:top w:val="nil"/>
              <w:left w:val="nil"/>
              <w:bottom w:val="single" w:sz="8" w:space="0" w:color="auto"/>
              <w:right w:val="single" w:sz="8" w:space="0" w:color="auto"/>
            </w:tcBorders>
            <w:shd w:val="clear" w:color="auto" w:fill="auto"/>
            <w:vAlign w:val="center"/>
            <w:hideMark/>
          </w:tcPr>
          <w:p w14:paraId="17549DD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1,9%</w:t>
            </w:r>
          </w:p>
        </w:tc>
        <w:tc>
          <w:tcPr>
            <w:tcW w:w="960" w:type="dxa"/>
            <w:tcBorders>
              <w:top w:val="nil"/>
              <w:left w:val="nil"/>
              <w:bottom w:val="single" w:sz="8" w:space="0" w:color="auto"/>
              <w:right w:val="single" w:sz="8" w:space="0" w:color="auto"/>
            </w:tcBorders>
            <w:shd w:val="clear" w:color="auto" w:fill="auto"/>
            <w:vAlign w:val="center"/>
            <w:hideMark/>
          </w:tcPr>
          <w:p w14:paraId="24389D9F"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-2,6%</w:t>
            </w:r>
          </w:p>
        </w:tc>
        <w:tc>
          <w:tcPr>
            <w:tcW w:w="960" w:type="dxa"/>
            <w:tcBorders>
              <w:top w:val="nil"/>
              <w:left w:val="nil"/>
              <w:bottom w:val="single" w:sz="8" w:space="0" w:color="auto"/>
              <w:right w:val="single" w:sz="8" w:space="0" w:color="auto"/>
            </w:tcBorders>
            <w:shd w:val="clear" w:color="auto" w:fill="auto"/>
            <w:vAlign w:val="center"/>
            <w:hideMark/>
          </w:tcPr>
          <w:p w14:paraId="2B03A60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1%</w:t>
            </w:r>
          </w:p>
        </w:tc>
        <w:tc>
          <w:tcPr>
            <w:tcW w:w="960" w:type="dxa"/>
            <w:tcBorders>
              <w:top w:val="nil"/>
              <w:left w:val="nil"/>
              <w:bottom w:val="single" w:sz="8" w:space="0" w:color="auto"/>
              <w:right w:val="single" w:sz="8" w:space="0" w:color="auto"/>
            </w:tcBorders>
            <w:shd w:val="clear" w:color="auto" w:fill="auto"/>
            <w:vAlign w:val="center"/>
            <w:hideMark/>
          </w:tcPr>
          <w:p w14:paraId="4605C03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-1,9%</w:t>
            </w:r>
          </w:p>
        </w:tc>
        <w:tc>
          <w:tcPr>
            <w:tcW w:w="960" w:type="dxa"/>
            <w:tcBorders>
              <w:top w:val="nil"/>
              <w:left w:val="nil"/>
              <w:bottom w:val="single" w:sz="8" w:space="0" w:color="auto"/>
              <w:right w:val="single" w:sz="8" w:space="0" w:color="auto"/>
            </w:tcBorders>
            <w:shd w:val="clear" w:color="auto" w:fill="auto"/>
            <w:vAlign w:val="center"/>
            <w:hideMark/>
          </w:tcPr>
          <w:p w14:paraId="65AB33F3"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 xml:space="preserve"> 11,9%</w:t>
            </w:r>
          </w:p>
        </w:tc>
        <w:tc>
          <w:tcPr>
            <w:tcW w:w="960" w:type="dxa"/>
            <w:tcBorders>
              <w:top w:val="nil"/>
              <w:left w:val="nil"/>
              <w:bottom w:val="single" w:sz="8" w:space="0" w:color="auto"/>
              <w:right w:val="single" w:sz="8" w:space="0" w:color="auto"/>
            </w:tcBorders>
            <w:shd w:val="clear" w:color="auto" w:fill="auto"/>
            <w:vAlign w:val="center"/>
            <w:hideMark/>
          </w:tcPr>
          <w:p w14:paraId="73F4DFCB" w14:textId="77777777" w:rsidR="0079254B" w:rsidRPr="0079254B" w:rsidRDefault="0079254B" w:rsidP="0079254B">
            <w:pPr>
              <w:spacing w:line="240" w:lineRule="auto"/>
              <w:ind w:firstLine="0"/>
              <w:jc w:val="left"/>
              <w:rPr>
                <w:rFonts w:ascii="Times New Roman" w:eastAsia="Times New Roman" w:hAnsi="Times New Roman" w:cs="Times New Roman"/>
                <w:color w:val="000000"/>
                <w:sz w:val="18"/>
                <w:szCs w:val="18"/>
                <w:lang w:val="ro-RO" w:eastAsia="ro-RO"/>
              </w:rPr>
            </w:pPr>
            <w:r w:rsidRPr="0079254B">
              <w:rPr>
                <w:rFonts w:ascii="Times New Roman" w:eastAsia="Times New Roman" w:hAnsi="Times New Roman" w:cs="Times New Roman"/>
                <w:color w:val="000000"/>
                <w:sz w:val="18"/>
                <w:szCs w:val="18"/>
                <w:lang w:val="ro-RO" w:eastAsia="ro-RO"/>
              </w:rPr>
              <w:t>-0,2%</w:t>
            </w:r>
          </w:p>
        </w:tc>
      </w:tr>
    </w:tbl>
    <w:p w14:paraId="0E901892" w14:textId="01B549CA" w:rsidR="00C523D0" w:rsidRPr="00022502" w:rsidRDefault="0079254B" w:rsidP="00022502">
      <w:pPr>
        <w:rPr>
          <w:lang w:val="ro-RO"/>
        </w:rPr>
      </w:pPr>
      <w:r>
        <w:rPr>
          <w:rFonts w:ascii="Times New Roman" w:hAnsi="Times New Roman" w:cs="Times New Roman"/>
          <w:noProof/>
          <w:sz w:val="28"/>
          <w:szCs w:val="28"/>
        </w:rPr>
        <w:drawing>
          <wp:anchor distT="0" distB="0" distL="114300" distR="114300" simplePos="0" relativeHeight="251664384" behindDoc="0" locked="0" layoutInCell="1" allowOverlap="1" wp14:anchorId="0CFA6B25" wp14:editId="7BD4C4E4">
            <wp:simplePos x="0" y="0"/>
            <wp:positionH relativeFrom="margin">
              <wp:posOffset>619460</wp:posOffset>
            </wp:positionH>
            <wp:positionV relativeFrom="paragraph">
              <wp:posOffset>133721</wp:posOffset>
            </wp:positionV>
            <wp:extent cx="4872355" cy="2301240"/>
            <wp:effectExtent l="0" t="0" r="4445" b="381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24C965A2" w14:textId="5E5F1BAB" w:rsidR="00C523D0" w:rsidRDefault="00C523D0" w:rsidP="0079254B">
      <w:pPr>
        <w:ind w:firstLine="0"/>
        <w:rPr>
          <w:lang w:val="ro-RO"/>
        </w:rPr>
      </w:pPr>
    </w:p>
    <w:p w14:paraId="13B0F769" w14:textId="62249981" w:rsidR="00C523D0" w:rsidRDefault="00C523D0" w:rsidP="00022502">
      <w:pPr>
        <w:rPr>
          <w:lang w:val="ro-RO"/>
        </w:rPr>
      </w:pPr>
    </w:p>
    <w:p w14:paraId="3A9A5091" w14:textId="4C08AE5F" w:rsidR="00C523D0" w:rsidRDefault="00C523D0" w:rsidP="00022502">
      <w:pPr>
        <w:rPr>
          <w:lang w:val="ro-RO"/>
        </w:rPr>
      </w:pPr>
    </w:p>
    <w:p w14:paraId="0B5DA812" w14:textId="415B1CB0" w:rsidR="00C523D0" w:rsidRDefault="00C523D0" w:rsidP="00022502">
      <w:pPr>
        <w:rPr>
          <w:lang w:val="ro-RO"/>
        </w:rPr>
      </w:pPr>
    </w:p>
    <w:p w14:paraId="5F686DDE" w14:textId="1B268C22" w:rsidR="00C523D0" w:rsidRDefault="00C523D0" w:rsidP="00022502">
      <w:pPr>
        <w:rPr>
          <w:lang w:val="ro-RO"/>
        </w:rPr>
      </w:pPr>
    </w:p>
    <w:p w14:paraId="30DAB95D" w14:textId="3A6E1283" w:rsidR="00C523D0" w:rsidRDefault="00C523D0" w:rsidP="00022502">
      <w:pPr>
        <w:rPr>
          <w:lang w:val="ro-RO"/>
        </w:rPr>
      </w:pPr>
    </w:p>
    <w:p w14:paraId="2BC8EE47" w14:textId="41C801C0" w:rsidR="00C523D0" w:rsidRDefault="00C523D0" w:rsidP="00022502">
      <w:pPr>
        <w:rPr>
          <w:lang w:val="ro-RO"/>
        </w:rPr>
      </w:pPr>
    </w:p>
    <w:p w14:paraId="30F80056" w14:textId="7A0AC231" w:rsidR="00C523D0" w:rsidRDefault="00C523D0" w:rsidP="00022502">
      <w:pPr>
        <w:rPr>
          <w:lang w:val="ro-RO"/>
        </w:rPr>
      </w:pPr>
    </w:p>
    <w:p w14:paraId="09C8CA97" w14:textId="412E0FF9" w:rsidR="00C523D0" w:rsidRDefault="00C523D0" w:rsidP="00022502">
      <w:pPr>
        <w:rPr>
          <w:lang w:val="ro-RO"/>
        </w:rPr>
      </w:pPr>
    </w:p>
    <w:p w14:paraId="1F27AB76" w14:textId="75B3C9AE" w:rsidR="00C523D0" w:rsidRDefault="00C523D0" w:rsidP="00022502">
      <w:pPr>
        <w:rPr>
          <w:lang w:val="ro-RO"/>
        </w:rPr>
      </w:pPr>
    </w:p>
    <w:p w14:paraId="0D4D01DD" w14:textId="3ABA6B0A" w:rsidR="00C523D0" w:rsidRDefault="00C523D0" w:rsidP="00022502">
      <w:pPr>
        <w:rPr>
          <w:lang w:val="ro-RO"/>
        </w:rPr>
      </w:pPr>
    </w:p>
    <w:p w14:paraId="1CA921FF" w14:textId="6EE5B12A" w:rsidR="00C523D0" w:rsidRDefault="00C523D0" w:rsidP="00022502">
      <w:pPr>
        <w:rPr>
          <w:lang w:val="ro-RO"/>
        </w:rPr>
      </w:pPr>
    </w:p>
    <w:p w14:paraId="7CCA8DAB" w14:textId="15351382" w:rsidR="00C523D0" w:rsidRDefault="00C523D0" w:rsidP="00022502">
      <w:pPr>
        <w:rPr>
          <w:lang w:val="ro-RO"/>
        </w:rPr>
      </w:pPr>
    </w:p>
    <w:p w14:paraId="3CEA54B2" w14:textId="77777777" w:rsidR="0079254B" w:rsidRDefault="0079254B" w:rsidP="0079254B">
      <w:pPr>
        <w:jc w:val="center"/>
        <w:rPr>
          <w:lang w:val="ro-RO"/>
        </w:rPr>
      </w:pPr>
      <w:r w:rsidRPr="00022502">
        <w:rPr>
          <w:lang w:val="ro-RO"/>
        </w:rPr>
        <w:t xml:space="preserve">Figura </w:t>
      </w:r>
      <w:r>
        <w:rPr>
          <w:lang w:val="ro-RO"/>
        </w:rPr>
        <w:t>1</w:t>
      </w:r>
      <w:r w:rsidRPr="00022502">
        <w:rPr>
          <w:lang w:val="ro-RO"/>
        </w:rPr>
        <w:t>. Salariul minim brut în țările UE (2024)</w:t>
      </w:r>
    </w:p>
    <w:p w14:paraId="5AD76B96" w14:textId="04C00DA7" w:rsidR="00851900" w:rsidRDefault="0079254B" w:rsidP="0079254B">
      <w:pPr>
        <w:jc w:val="center"/>
        <w:rPr>
          <w:lang w:val="ro-RO"/>
        </w:rPr>
      </w:pPr>
      <w:r>
        <w:rPr>
          <w:lang w:val="ro-RO"/>
        </w:rPr>
        <w:t>Sursă: prelucrare proprie, date Eurostat</w:t>
      </w:r>
    </w:p>
    <w:p w14:paraId="1F3A1342" w14:textId="12E6B0BB" w:rsidR="00851900" w:rsidRDefault="0079254B" w:rsidP="00022502">
      <w:pPr>
        <w:rPr>
          <w:lang w:val="ro-RO"/>
        </w:rPr>
      </w:pPr>
      <w:r>
        <w:rPr>
          <w:rFonts w:ascii="Times New Roman" w:hAnsi="Times New Roman" w:cs="Times New Roman"/>
          <w:noProof/>
          <w:sz w:val="28"/>
          <w:szCs w:val="28"/>
        </w:rPr>
        <w:lastRenderedPageBreak/>
        <w:drawing>
          <wp:anchor distT="0" distB="0" distL="114300" distR="114300" simplePos="0" relativeHeight="251666432" behindDoc="1" locked="0" layoutInCell="1" allowOverlap="1" wp14:anchorId="3716A0DE" wp14:editId="3D04E6DE">
            <wp:simplePos x="0" y="0"/>
            <wp:positionH relativeFrom="margin">
              <wp:posOffset>547370</wp:posOffset>
            </wp:positionH>
            <wp:positionV relativeFrom="paragraph">
              <wp:posOffset>172085</wp:posOffset>
            </wp:positionV>
            <wp:extent cx="4942840" cy="2570480"/>
            <wp:effectExtent l="0" t="0" r="10160" b="127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1583DD3E" w14:textId="1CD33945" w:rsidR="00851900" w:rsidRDefault="00851900" w:rsidP="00022502">
      <w:pPr>
        <w:rPr>
          <w:lang w:val="ro-RO"/>
        </w:rPr>
      </w:pPr>
    </w:p>
    <w:p w14:paraId="6E48C768" w14:textId="7D452036" w:rsidR="00851900" w:rsidRDefault="00851900" w:rsidP="0079254B">
      <w:pPr>
        <w:ind w:firstLine="0"/>
        <w:rPr>
          <w:lang w:val="ro-RO"/>
        </w:rPr>
      </w:pPr>
    </w:p>
    <w:p w14:paraId="4D61E570" w14:textId="723ADEED" w:rsidR="00851900" w:rsidRDefault="00851900" w:rsidP="00022502">
      <w:pPr>
        <w:rPr>
          <w:lang w:val="ro-RO"/>
        </w:rPr>
      </w:pPr>
    </w:p>
    <w:p w14:paraId="57871D56" w14:textId="77777777" w:rsidR="00DC5FAF" w:rsidRDefault="00DC5FAF" w:rsidP="00022502">
      <w:pPr>
        <w:rPr>
          <w:lang w:val="ro-RO"/>
        </w:rPr>
      </w:pPr>
    </w:p>
    <w:p w14:paraId="2371A643" w14:textId="7514BC68" w:rsidR="00022502" w:rsidRDefault="00022502" w:rsidP="0079254B">
      <w:pPr>
        <w:jc w:val="center"/>
        <w:rPr>
          <w:lang w:val="ro-RO"/>
        </w:rPr>
      </w:pPr>
      <w:r w:rsidRPr="00022502">
        <w:rPr>
          <w:lang w:val="ro-RO"/>
        </w:rPr>
        <w:t xml:space="preserve">Figura </w:t>
      </w:r>
      <w:r w:rsidR="0079254B">
        <w:rPr>
          <w:lang w:val="ro-RO"/>
        </w:rPr>
        <w:t>2</w:t>
      </w:r>
      <w:r w:rsidRPr="00022502">
        <w:rPr>
          <w:lang w:val="ro-RO"/>
        </w:rPr>
        <w:t>. Salari</w:t>
      </w:r>
      <w:r w:rsidR="00C523D0">
        <w:rPr>
          <w:lang w:val="ro-RO"/>
        </w:rPr>
        <w:t>ul minim net în țările UE (2024)</w:t>
      </w:r>
    </w:p>
    <w:p w14:paraId="2D005426" w14:textId="77777777" w:rsidR="0079254B" w:rsidRDefault="0079254B" w:rsidP="0079254B">
      <w:pPr>
        <w:jc w:val="center"/>
        <w:rPr>
          <w:lang w:val="ro-RO"/>
        </w:rPr>
      </w:pPr>
      <w:r>
        <w:rPr>
          <w:lang w:val="ro-RO"/>
        </w:rPr>
        <w:t>Sursă: prelucrare proprie, date Eurostat</w:t>
      </w:r>
    </w:p>
    <w:p w14:paraId="47ACCDF6" w14:textId="77777777" w:rsidR="0079254B" w:rsidRDefault="0079254B" w:rsidP="0079254B">
      <w:pPr>
        <w:jc w:val="center"/>
        <w:rPr>
          <w:lang w:val="ro-RO"/>
        </w:rPr>
      </w:pPr>
    </w:p>
    <w:p w14:paraId="40396A2C" w14:textId="2E308358" w:rsidR="00851900" w:rsidRDefault="00851900" w:rsidP="00022502">
      <w:pPr>
        <w:rPr>
          <w:lang w:val="ro-RO"/>
        </w:rPr>
      </w:pPr>
    </w:p>
    <w:p w14:paraId="5A04115C" w14:textId="4DE0521E" w:rsidR="00022502" w:rsidRDefault="00F828CD" w:rsidP="00022502">
      <w:pPr>
        <w:rPr>
          <w:lang w:val="ro-RO"/>
        </w:rPr>
      </w:pPr>
      <w:r>
        <w:rPr>
          <w:lang w:val="ro-RO"/>
        </w:rPr>
        <w:t>Tabelul</w:t>
      </w:r>
      <w:r w:rsidR="00022502" w:rsidRPr="00022502">
        <w:rPr>
          <w:lang w:val="ro-RO"/>
        </w:rPr>
        <w:t xml:space="preserve"> 4. Puterea de cumpărare a salariului minim net ajustată cu diferențele de prețuri</w:t>
      </w:r>
    </w:p>
    <w:p w14:paraId="6F93CCC3" w14:textId="7C341E9D" w:rsidR="00851900" w:rsidRDefault="00851900" w:rsidP="00022502">
      <w:pPr>
        <w:rPr>
          <w:lang w:val="ro-RO"/>
        </w:rPr>
      </w:pPr>
    </w:p>
    <w:tbl>
      <w:tblPr>
        <w:tblStyle w:val="TableGrid"/>
        <w:tblW w:w="0" w:type="auto"/>
        <w:tblLook w:val="04A0" w:firstRow="1" w:lastRow="0" w:firstColumn="1" w:lastColumn="0" w:noHBand="0" w:noVBand="1"/>
      </w:tblPr>
      <w:tblGrid>
        <w:gridCol w:w="1336"/>
        <w:gridCol w:w="1998"/>
        <w:gridCol w:w="1559"/>
        <w:gridCol w:w="1559"/>
        <w:gridCol w:w="1569"/>
        <w:gridCol w:w="1559"/>
      </w:tblGrid>
      <w:tr w:rsidR="0079254B" w:rsidRPr="0079254B" w14:paraId="4207DE14" w14:textId="77777777" w:rsidTr="0079254B">
        <w:tc>
          <w:tcPr>
            <w:tcW w:w="1129" w:type="dxa"/>
          </w:tcPr>
          <w:p w14:paraId="7D46A8C5" w14:textId="6FC35BEA" w:rsidR="0079254B" w:rsidRPr="0079254B" w:rsidRDefault="0079254B" w:rsidP="004E1DDA">
            <w:pPr>
              <w:tabs>
                <w:tab w:val="left" w:pos="2568"/>
              </w:tabs>
              <w:rPr>
                <w:rFonts w:ascii="Times New Roman" w:hAnsi="Times New Roman" w:cs="Times New Roman"/>
                <w:sz w:val="20"/>
                <w:szCs w:val="20"/>
              </w:rPr>
            </w:pPr>
            <w:r>
              <w:rPr>
                <w:rFonts w:ascii="Times New Roman" w:hAnsi="Times New Roman" w:cs="Times New Roman"/>
                <w:sz w:val="20"/>
                <w:szCs w:val="20"/>
              </w:rPr>
              <w:t>An</w:t>
            </w:r>
          </w:p>
        </w:tc>
        <w:tc>
          <w:tcPr>
            <w:tcW w:w="1998" w:type="dxa"/>
          </w:tcPr>
          <w:p w14:paraId="1AC57BCA" w14:textId="77777777" w:rsidR="0079254B" w:rsidRPr="0079254B" w:rsidRDefault="0079254B" w:rsidP="0079254B">
            <w:pPr>
              <w:tabs>
                <w:tab w:val="left" w:pos="2568"/>
              </w:tabs>
              <w:ind w:firstLine="0"/>
              <w:rPr>
                <w:rFonts w:ascii="Times New Roman" w:hAnsi="Times New Roman" w:cs="Times New Roman"/>
                <w:sz w:val="20"/>
                <w:szCs w:val="20"/>
                <w:lang w:val="ro-RO"/>
              </w:rPr>
            </w:pPr>
            <w:r w:rsidRPr="0079254B">
              <w:rPr>
                <w:rFonts w:ascii="Times New Roman" w:hAnsi="Times New Roman" w:cs="Times New Roman"/>
                <w:sz w:val="20"/>
                <w:szCs w:val="20"/>
                <w:lang w:val="ro-RO"/>
              </w:rPr>
              <w:t>Valoare coș</w:t>
            </w:r>
          </w:p>
        </w:tc>
        <w:tc>
          <w:tcPr>
            <w:tcW w:w="1559" w:type="dxa"/>
          </w:tcPr>
          <w:p w14:paraId="252AAF5A" w14:textId="77777777" w:rsidR="0079254B" w:rsidRPr="0079254B" w:rsidRDefault="0079254B" w:rsidP="0079254B">
            <w:pPr>
              <w:tabs>
                <w:tab w:val="left" w:pos="2568"/>
              </w:tabs>
              <w:ind w:firstLine="0"/>
              <w:rPr>
                <w:rFonts w:ascii="Times New Roman" w:hAnsi="Times New Roman" w:cs="Times New Roman"/>
                <w:sz w:val="20"/>
                <w:szCs w:val="20"/>
                <w:lang w:val="ro-RO"/>
              </w:rPr>
            </w:pPr>
            <w:r w:rsidRPr="0079254B">
              <w:rPr>
                <w:rFonts w:ascii="Times New Roman" w:hAnsi="Times New Roman" w:cs="Times New Roman"/>
                <w:sz w:val="20"/>
                <w:szCs w:val="20"/>
                <w:lang w:val="ro-RO"/>
              </w:rPr>
              <w:t>Salariul minim brut</w:t>
            </w:r>
          </w:p>
        </w:tc>
        <w:tc>
          <w:tcPr>
            <w:tcW w:w="1559" w:type="dxa"/>
          </w:tcPr>
          <w:p w14:paraId="7195E7A9" w14:textId="77777777" w:rsidR="0079254B" w:rsidRPr="0079254B" w:rsidRDefault="0079254B" w:rsidP="0079254B">
            <w:pPr>
              <w:tabs>
                <w:tab w:val="left" w:pos="2568"/>
              </w:tabs>
              <w:ind w:firstLine="0"/>
              <w:rPr>
                <w:rFonts w:ascii="Times New Roman" w:hAnsi="Times New Roman" w:cs="Times New Roman"/>
                <w:sz w:val="20"/>
                <w:szCs w:val="20"/>
                <w:lang w:val="ro-RO"/>
              </w:rPr>
            </w:pPr>
            <w:r w:rsidRPr="0079254B">
              <w:rPr>
                <w:rFonts w:ascii="Times New Roman" w:hAnsi="Times New Roman" w:cs="Times New Roman"/>
                <w:sz w:val="20"/>
                <w:szCs w:val="20"/>
                <w:lang w:val="ro-RO"/>
              </w:rPr>
              <w:t>Salariul minim net</w:t>
            </w:r>
          </w:p>
        </w:tc>
        <w:tc>
          <w:tcPr>
            <w:tcW w:w="1569" w:type="dxa"/>
          </w:tcPr>
          <w:p w14:paraId="1EE521AD" w14:textId="77777777" w:rsidR="0079254B" w:rsidRPr="0079254B" w:rsidRDefault="0079254B" w:rsidP="0079254B">
            <w:pPr>
              <w:tabs>
                <w:tab w:val="left" w:pos="2568"/>
              </w:tabs>
              <w:ind w:firstLine="0"/>
              <w:rPr>
                <w:rFonts w:ascii="Times New Roman" w:hAnsi="Times New Roman" w:cs="Times New Roman"/>
                <w:sz w:val="20"/>
                <w:szCs w:val="20"/>
                <w:lang w:val="ro-RO"/>
              </w:rPr>
            </w:pPr>
            <w:r w:rsidRPr="0079254B">
              <w:rPr>
                <w:rFonts w:ascii="Times New Roman" w:hAnsi="Times New Roman" w:cs="Times New Roman"/>
                <w:sz w:val="20"/>
                <w:szCs w:val="20"/>
                <w:lang w:val="ro-RO"/>
              </w:rPr>
              <w:t>Valoare alocație</w:t>
            </w:r>
          </w:p>
        </w:tc>
        <w:tc>
          <w:tcPr>
            <w:tcW w:w="1559" w:type="dxa"/>
          </w:tcPr>
          <w:p w14:paraId="5749B73F" w14:textId="77777777" w:rsidR="0079254B" w:rsidRPr="0079254B" w:rsidRDefault="0079254B" w:rsidP="0079254B">
            <w:pPr>
              <w:tabs>
                <w:tab w:val="left" w:pos="2568"/>
              </w:tabs>
              <w:ind w:firstLine="0"/>
              <w:rPr>
                <w:rFonts w:ascii="Times New Roman" w:hAnsi="Times New Roman" w:cs="Times New Roman"/>
                <w:sz w:val="20"/>
                <w:szCs w:val="20"/>
                <w:lang w:val="ro-RO"/>
              </w:rPr>
            </w:pPr>
            <w:r w:rsidRPr="0079254B">
              <w:rPr>
                <w:rFonts w:ascii="Times New Roman" w:hAnsi="Times New Roman" w:cs="Times New Roman"/>
                <w:sz w:val="20"/>
                <w:szCs w:val="20"/>
                <w:lang w:val="ro-RO"/>
              </w:rPr>
              <w:t>Salariu net ca % din1/2 coș minus</w:t>
            </w:r>
          </w:p>
        </w:tc>
      </w:tr>
      <w:tr w:rsidR="0079254B" w:rsidRPr="0079254B" w14:paraId="1C7E53AD" w14:textId="77777777" w:rsidTr="0079254B">
        <w:trPr>
          <w:trHeight w:val="64"/>
        </w:trPr>
        <w:tc>
          <w:tcPr>
            <w:tcW w:w="1129" w:type="dxa"/>
          </w:tcPr>
          <w:p w14:paraId="42DF7836"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2018</w:t>
            </w:r>
          </w:p>
        </w:tc>
        <w:tc>
          <w:tcPr>
            <w:tcW w:w="1998" w:type="dxa"/>
          </w:tcPr>
          <w:p w14:paraId="12138C62"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6762</w:t>
            </w:r>
          </w:p>
        </w:tc>
        <w:tc>
          <w:tcPr>
            <w:tcW w:w="1559" w:type="dxa"/>
          </w:tcPr>
          <w:p w14:paraId="12FD3A23"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1900</w:t>
            </w:r>
          </w:p>
        </w:tc>
        <w:tc>
          <w:tcPr>
            <w:tcW w:w="1559" w:type="dxa"/>
          </w:tcPr>
          <w:p w14:paraId="17ABFC7A"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1162</w:t>
            </w:r>
          </w:p>
        </w:tc>
        <w:tc>
          <w:tcPr>
            <w:tcW w:w="1569" w:type="dxa"/>
          </w:tcPr>
          <w:p w14:paraId="3C018ACB"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84</w:t>
            </w:r>
          </w:p>
        </w:tc>
        <w:tc>
          <w:tcPr>
            <w:tcW w:w="1559" w:type="dxa"/>
          </w:tcPr>
          <w:p w14:paraId="2236699C"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35,2%</w:t>
            </w:r>
          </w:p>
        </w:tc>
      </w:tr>
      <w:tr w:rsidR="0079254B" w:rsidRPr="0079254B" w14:paraId="06E12032" w14:textId="77777777" w:rsidTr="0079254B">
        <w:tc>
          <w:tcPr>
            <w:tcW w:w="1129" w:type="dxa"/>
          </w:tcPr>
          <w:p w14:paraId="355CCAB2"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2019</w:t>
            </w:r>
          </w:p>
        </w:tc>
        <w:tc>
          <w:tcPr>
            <w:tcW w:w="1998" w:type="dxa"/>
          </w:tcPr>
          <w:p w14:paraId="43D8E701"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6954</w:t>
            </w:r>
          </w:p>
        </w:tc>
        <w:tc>
          <w:tcPr>
            <w:tcW w:w="1559" w:type="dxa"/>
          </w:tcPr>
          <w:p w14:paraId="7322F11E"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2080</w:t>
            </w:r>
          </w:p>
        </w:tc>
        <w:tc>
          <w:tcPr>
            <w:tcW w:w="1559" w:type="dxa"/>
          </w:tcPr>
          <w:p w14:paraId="1E891159"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1263</w:t>
            </w:r>
          </w:p>
        </w:tc>
        <w:tc>
          <w:tcPr>
            <w:tcW w:w="1569" w:type="dxa"/>
          </w:tcPr>
          <w:p w14:paraId="0B6B4A25"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150</w:t>
            </w:r>
          </w:p>
        </w:tc>
        <w:tc>
          <w:tcPr>
            <w:tcW w:w="1559" w:type="dxa"/>
          </w:tcPr>
          <w:p w14:paraId="2E081382"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38%</w:t>
            </w:r>
          </w:p>
        </w:tc>
      </w:tr>
      <w:tr w:rsidR="0079254B" w:rsidRPr="0079254B" w14:paraId="08F27C4D" w14:textId="77777777" w:rsidTr="0079254B">
        <w:tc>
          <w:tcPr>
            <w:tcW w:w="1129" w:type="dxa"/>
          </w:tcPr>
          <w:p w14:paraId="059CD9F6"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2020</w:t>
            </w:r>
          </w:p>
        </w:tc>
        <w:tc>
          <w:tcPr>
            <w:tcW w:w="1998" w:type="dxa"/>
          </w:tcPr>
          <w:p w14:paraId="6D6263E4"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7278</w:t>
            </w:r>
          </w:p>
        </w:tc>
        <w:tc>
          <w:tcPr>
            <w:tcW w:w="1559" w:type="dxa"/>
          </w:tcPr>
          <w:p w14:paraId="729F2480"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2230</w:t>
            </w:r>
          </w:p>
        </w:tc>
        <w:tc>
          <w:tcPr>
            <w:tcW w:w="1559" w:type="dxa"/>
          </w:tcPr>
          <w:p w14:paraId="5E483A4F"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1346</w:t>
            </w:r>
          </w:p>
        </w:tc>
        <w:tc>
          <w:tcPr>
            <w:tcW w:w="1569" w:type="dxa"/>
          </w:tcPr>
          <w:p w14:paraId="13F1D3A0"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185</w:t>
            </w:r>
          </w:p>
        </w:tc>
        <w:tc>
          <w:tcPr>
            <w:tcW w:w="1559" w:type="dxa"/>
          </w:tcPr>
          <w:p w14:paraId="3F505C52"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39%</w:t>
            </w:r>
          </w:p>
        </w:tc>
      </w:tr>
      <w:tr w:rsidR="0079254B" w:rsidRPr="0079254B" w14:paraId="63DC5E73" w14:textId="77777777" w:rsidTr="0079254B">
        <w:tc>
          <w:tcPr>
            <w:tcW w:w="1129" w:type="dxa"/>
          </w:tcPr>
          <w:p w14:paraId="59974686"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2021</w:t>
            </w:r>
          </w:p>
        </w:tc>
        <w:tc>
          <w:tcPr>
            <w:tcW w:w="1998" w:type="dxa"/>
          </w:tcPr>
          <w:p w14:paraId="1B79777F"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7233</w:t>
            </w:r>
          </w:p>
        </w:tc>
        <w:tc>
          <w:tcPr>
            <w:tcW w:w="1559" w:type="dxa"/>
          </w:tcPr>
          <w:p w14:paraId="1DE9FD6F"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2300</w:t>
            </w:r>
          </w:p>
        </w:tc>
        <w:tc>
          <w:tcPr>
            <w:tcW w:w="1559" w:type="dxa"/>
          </w:tcPr>
          <w:p w14:paraId="34AC4AF0"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1386</w:t>
            </w:r>
          </w:p>
        </w:tc>
        <w:tc>
          <w:tcPr>
            <w:tcW w:w="1569" w:type="dxa"/>
          </w:tcPr>
          <w:p w14:paraId="50C3BB31"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214</w:t>
            </w:r>
          </w:p>
        </w:tc>
        <w:tc>
          <w:tcPr>
            <w:tcW w:w="1559" w:type="dxa"/>
          </w:tcPr>
          <w:p w14:paraId="7FF1371D"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40,7%</w:t>
            </w:r>
          </w:p>
        </w:tc>
      </w:tr>
      <w:tr w:rsidR="0079254B" w:rsidRPr="0079254B" w14:paraId="1045773A" w14:textId="77777777" w:rsidTr="0079254B">
        <w:tc>
          <w:tcPr>
            <w:tcW w:w="1129" w:type="dxa"/>
          </w:tcPr>
          <w:p w14:paraId="182058FE"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2022</w:t>
            </w:r>
          </w:p>
        </w:tc>
        <w:tc>
          <w:tcPr>
            <w:tcW w:w="1998" w:type="dxa"/>
          </w:tcPr>
          <w:p w14:paraId="2C02BB60"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8659</w:t>
            </w:r>
          </w:p>
        </w:tc>
        <w:tc>
          <w:tcPr>
            <w:tcW w:w="1559" w:type="dxa"/>
          </w:tcPr>
          <w:p w14:paraId="7FDB2711"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2550</w:t>
            </w:r>
          </w:p>
        </w:tc>
        <w:tc>
          <w:tcPr>
            <w:tcW w:w="1559" w:type="dxa"/>
          </w:tcPr>
          <w:p w14:paraId="1576A52C"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1524</w:t>
            </w:r>
          </w:p>
        </w:tc>
        <w:tc>
          <w:tcPr>
            <w:tcW w:w="1569" w:type="dxa"/>
          </w:tcPr>
          <w:p w14:paraId="03AB5557"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243</w:t>
            </w:r>
          </w:p>
        </w:tc>
        <w:tc>
          <w:tcPr>
            <w:tcW w:w="1559" w:type="dxa"/>
          </w:tcPr>
          <w:p w14:paraId="5EF5A19A"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37,3%</w:t>
            </w:r>
          </w:p>
        </w:tc>
      </w:tr>
      <w:tr w:rsidR="0079254B" w:rsidRPr="0079254B" w14:paraId="521F2293" w14:textId="77777777" w:rsidTr="0079254B">
        <w:tc>
          <w:tcPr>
            <w:tcW w:w="1129" w:type="dxa"/>
          </w:tcPr>
          <w:p w14:paraId="53FB9D39"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2023</w:t>
            </w:r>
          </w:p>
        </w:tc>
        <w:tc>
          <w:tcPr>
            <w:tcW w:w="1998" w:type="dxa"/>
          </w:tcPr>
          <w:p w14:paraId="76CB738A"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9978</w:t>
            </w:r>
          </w:p>
        </w:tc>
        <w:tc>
          <w:tcPr>
            <w:tcW w:w="1559" w:type="dxa"/>
          </w:tcPr>
          <w:p w14:paraId="761C5B2F"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3000</w:t>
            </w:r>
          </w:p>
        </w:tc>
        <w:tc>
          <w:tcPr>
            <w:tcW w:w="1559" w:type="dxa"/>
          </w:tcPr>
          <w:p w14:paraId="38E30333"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1898</w:t>
            </w:r>
          </w:p>
        </w:tc>
        <w:tc>
          <w:tcPr>
            <w:tcW w:w="1569" w:type="dxa"/>
          </w:tcPr>
          <w:p w14:paraId="77FE8F5E"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256</w:t>
            </w:r>
          </w:p>
        </w:tc>
        <w:tc>
          <w:tcPr>
            <w:tcW w:w="1559" w:type="dxa"/>
          </w:tcPr>
          <w:p w14:paraId="7BCF132A"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40,1%</w:t>
            </w:r>
          </w:p>
        </w:tc>
      </w:tr>
      <w:tr w:rsidR="0079254B" w:rsidRPr="0079254B" w14:paraId="2D7797BF" w14:textId="77777777" w:rsidTr="0079254B">
        <w:tc>
          <w:tcPr>
            <w:tcW w:w="1129" w:type="dxa"/>
          </w:tcPr>
          <w:p w14:paraId="0F7E4609"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2024</w:t>
            </w:r>
          </w:p>
        </w:tc>
        <w:tc>
          <w:tcPr>
            <w:tcW w:w="1998" w:type="dxa"/>
          </w:tcPr>
          <w:p w14:paraId="7A517892"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10450</w:t>
            </w:r>
          </w:p>
        </w:tc>
        <w:tc>
          <w:tcPr>
            <w:tcW w:w="1559" w:type="dxa"/>
          </w:tcPr>
          <w:p w14:paraId="228B66D0"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3700</w:t>
            </w:r>
          </w:p>
        </w:tc>
        <w:tc>
          <w:tcPr>
            <w:tcW w:w="1559" w:type="dxa"/>
          </w:tcPr>
          <w:p w14:paraId="58F3F115"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2363</w:t>
            </w:r>
          </w:p>
        </w:tc>
        <w:tc>
          <w:tcPr>
            <w:tcW w:w="1569" w:type="dxa"/>
          </w:tcPr>
          <w:p w14:paraId="2174A353"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292</w:t>
            </w:r>
          </w:p>
        </w:tc>
        <w:tc>
          <w:tcPr>
            <w:tcW w:w="1559" w:type="dxa"/>
          </w:tcPr>
          <w:p w14:paraId="12AA61D3" w14:textId="77777777" w:rsidR="0079254B" w:rsidRPr="0079254B" w:rsidRDefault="0079254B" w:rsidP="0079254B">
            <w:pPr>
              <w:tabs>
                <w:tab w:val="left" w:pos="2568"/>
              </w:tabs>
              <w:jc w:val="left"/>
              <w:rPr>
                <w:rFonts w:ascii="Times New Roman" w:hAnsi="Times New Roman" w:cs="Times New Roman"/>
                <w:sz w:val="20"/>
                <w:szCs w:val="20"/>
                <w:lang w:val="ro-RO"/>
              </w:rPr>
            </w:pPr>
            <w:r w:rsidRPr="0079254B">
              <w:rPr>
                <w:rFonts w:ascii="Times New Roman" w:hAnsi="Times New Roman" w:cs="Times New Roman"/>
                <w:sz w:val="20"/>
                <w:szCs w:val="20"/>
                <w:lang w:val="ro-RO"/>
              </w:rPr>
              <w:t>47,9%</w:t>
            </w:r>
          </w:p>
        </w:tc>
      </w:tr>
    </w:tbl>
    <w:p w14:paraId="662269BD" w14:textId="77777777" w:rsidR="00851900" w:rsidRDefault="00851900" w:rsidP="00851900">
      <w:pPr>
        <w:tabs>
          <w:tab w:val="left" w:pos="2568"/>
        </w:tabs>
        <w:rPr>
          <w:rFonts w:ascii="Times New Roman" w:hAnsi="Times New Roman" w:cs="Times New Roman"/>
          <w:sz w:val="28"/>
          <w:szCs w:val="28"/>
          <w:lang w:val="ro-RO"/>
        </w:rPr>
      </w:pPr>
    </w:p>
    <w:p w14:paraId="76876B49" w14:textId="77777777" w:rsidR="00851900" w:rsidRPr="00022502" w:rsidRDefault="00851900" w:rsidP="00022502">
      <w:pPr>
        <w:rPr>
          <w:lang w:val="ro-RO"/>
        </w:rPr>
      </w:pPr>
    </w:p>
    <w:p w14:paraId="691AD906" w14:textId="77777777" w:rsidR="00022502" w:rsidRPr="00022502" w:rsidRDefault="00022502" w:rsidP="00022502">
      <w:pPr>
        <w:rPr>
          <w:lang w:val="ro-RO"/>
        </w:rPr>
      </w:pPr>
      <w:r w:rsidRPr="00022502">
        <w:rPr>
          <w:lang w:val="ro-RO"/>
        </w:rPr>
        <w:t>Adecvarea Salariului Minim față de Traiul Decent</w:t>
      </w:r>
    </w:p>
    <w:p w14:paraId="4604BCE1" w14:textId="77777777" w:rsidR="00022502" w:rsidRPr="00022502" w:rsidRDefault="00022502" w:rsidP="00022502">
      <w:pPr>
        <w:rPr>
          <w:lang w:val="ro-RO"/>
        </w:rPr>
      </w:pPr>
      <w:r w:rsidRPr="00022502">
        <w:rPr>
          <w:lang w:val="ro-RO"/>
        </w:rPr>
        <w:t>Coșul minim de consum pentru un trai decent a evoluat de la 6762 lei în 2018 la 10450 lei în 2024 pentru o familie de doi adulți și doi copii, reflectând atât inflația cât și îmbunătățirea standardelor pentru un trai decent. Tabelul 4 revelă o situație îngrijorătoare: salariul minim net acoperă doar o fracțiune din acest necesar, evoluând de la 35,2% în 2018 la 47,9% în 2024. Cel mai scăzut grad de acoperire a fost înregistrat în 2022 (37,3%) din cauza inflației ridicate, demonstrând vulnerabilitatea sistemului la șocuri externe. Chiar și îmbunătățirea din 2024 lasă o lacună de peste 50% între venituri și necesarul pentru un trai decent, evidențiind că mai mult de jumătate din nevoile unei familii cu salarii minime rămân neacoperite. Această discrepanță persistentă sugerează că politica actuală a salariului minim este inadecvată pentru atingerea obiectivelor de trai decent stipulate în Legea 174/2020.</w:t>
      </w:r>
    </w:p>
    <w:p w14:paraId="3ECEEDB0" w14:textId="77777777" w:rsidR="00022502" w:rsidRPr="00022502" w:rsidRDefault="00022502" w:rsidP="00022502">
      <w:pPr>
        <w:rPr>
          <w:lang w:val="ro-RO"/>
        </w:rPr>
      </w:pPr>
      <w:r w:rsidRPr="00022502">
        <w:rPr>
          <w:lang w:val="ro-RO"/>
        </w:rPr>
        <w:t>Tabelul 4. Coșul de consum pentru un trai minim decent și salariul minim net, 2018-2024</w:t>
      </w:r>
    </w:p>
    <w:p w14:paraId="23814CA2" w14:textId="77777777" w:rsidR="00022502" w:rsidRPr="00022502" w:rsidRDefault="00022502" w:rsidP="00022502">
      <w:pPr>
        <w:rPr>
          <w:lang w:val="ro-RO"/>
        </w:rPr>
      </w:pPr>
      <w:r w:rsidRPr="00022502">
        <w:rPr>
          <w:lang w:val="ro-RO"/>
        </w:rPr>
        <w:t>Simularea Convergentei către Traiul Decent (2025-2035)</w:t>
      </w:r>
    </w:p>
    <w:p w14:paraId="3265B892" w14:textId="67FC9519" w:rsidR="00022502" w:rsidRDefault="00022502" w:rsidP="00022502">
      <w:pPr>
        <w:rPr>
          <w:lang w:val="ro-RO"/>
        </w:rPr>
      </w:pPr>
      <w:r w:rsidRPr="00022502">
        <w:rPr>
          <w:lang w:val="ro-RO"/>
        </w:rPr>
        <w:lastRenderedPageBreak/>
        <w:t>Modelul de convergență dezvoltat arată că pentru atingerea unui salariu minim decent până în 2035 este necesară o creștere medie anuală de 10,1% a salariului minim, o rată semnificativ mai mare decât creșterile din ultimii ani. Tabelul 5 prezintă un scenariu ambițios dar realizabil: scenariul presupune normalizarea inflației la 2,5% anual după 2025 și indexarea alocațiilor cu inflația. Conform simulării, salariul minim brut ar trebui să ajungă la 10601 lei în 2035, iar cel net la 6667 lei, pentru a acoperi 100,1% din coșul minim de consum estimat la 14103 lei. Interpretarea acestei simulări arată că gradul de acoperire ar evolua progresiv și constant de la 49,6% în 2025 la 100,1% în 2035, sugerând că o politică de creștere susținută și predictibilă ar putea elimina treptat lacuna existentă. Totuși, rata de creștere necesară de 10,1% anual ridică întrebări despre sustenabilitatea economică a acestui scenariu și impactul asupra competitivității și inflației.</w:t>
      </w:r>
    </w:p>
    <w:p w14:paraId="5FF0BCD7" w14:textId="77777777" w:rsidR="00F828CD" w:rsidRPr="00022502" w:rsidRDefault="00F828CD" w:rsidP="00022502">
      <w:pPr>
        <w:rPr>
          <w:lang w:val="ro-RO"/>
        </w:rPr>
      </w:pPr>
    </w:p>
    <w:p w14:paraId="55EA62BB" w14:textId="03668B17" w:rsidR="007D03CA" w:rsidRDefault="00022502" w:rsidP="00022502">
      <w:pPr>
        <w:rPr>
          <w:lang w:val="ro-RO"/>
        </w:rPr>
      </w:pPr>
      <w:r w:rsidRPr="00022502">
        <w:rPr>
          <w:lang w:val="ro-RO"/>
        </w:rPr>
        <w:t>Tabelul 5. Salariul minim și coșul de consum pentru un trai minim decent: Simulare de convergență până în anul 2035</w:t>
      </w:r>
    </w:p>
    <w:p w14:paraId="7A7574FA" w14:textId="77777777" w:rsidR="00000098" w:rsidRDefault="00000098" w:rsidP="00022502">
      <w:pPr>
        <w:rPr>
          <w:lang w:val="ro-RO"/>
        </w:rPr>
      </w:pPr>
    </w:p>
    <w:tbl>
      <w:tblPr>
        <w:tblW w:w="8420" w:type="dxa"/>
        <w:jc w:val="center"/>
        <w:tblLook w:val="04A0" w:firstRow="1" w:lastRow="0" w:firstColumn="1" w:lastColumn="0" w:noHBand="0" w:noVBand="1"/>
      </w:tblPr>
      <w:tblGrid>
        <w:gridCol w:w="987"/>
        <w:gridCol w:w="736"/>
        <w:gridCol w:w="957"/>
        <w:gridCol w:w="957"/>
        <w:gridCol w:w="956"/>
        <w:gridCol w:w="956"/>
        <w:gridCol w:w="958"/>
        <w:gridCol w:w="957"/>
        <w:gridCol w:w="956"/>
      </w:tblGrid>
      <w:tr w:rsidR="00000098" w:rsidRPr="00000098" w14:paraId="0BF93D39" w14:textId="77777777" w:rsidTr="00000098">
        <w:trPr>
          <w:trHeight w:val="1332"/>
          <w:jc w:val="center"/>
        </w:trPr>
        <w:tc>
          <w:tcPr>
            <w:tcW w:w="9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18111F"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Tip valori</w:t>
            </w:r>
          </w:p>
        </w:tc>
        <w:tc>
          <w:tcPr>
            <w:tcW w:w="736" w:type="dxa"/>
            <w:tcBorders>
              <w:top w:val="single" w:sz="8" w:space="0" w:color="auto"/>
              <w:left w:val="nil"/>
              <w:bottom w:val="single" w:sz="8" w:space="0" w:color="auto"/>
              <w:right w:val="single" w:sz="8" w:space="0" w:color="auto"/>
            </w:tcBorders>
            <w:shd w:val="clear" w:color="auto" w:fill="auto"/>
            <w:vAlign w:val="center"/>
            <w:hideMark/>
          </w:tcPr>
          <w:p w14:paraId="41557EFF"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An</w:t>
            </w:r>
          </w:p>
        </w:tc>
        <w:tc>
          <w:tcPr>
            <w:tcW w:w="957" w:type="dxa"/>
            <w:tcBorders>
              <w:top w:val="single" w:sz="8" w:space="0" w:color="auto"/>
              <w:left w:val="nil"/>
              <w:bottom w:val="single" w:sz="8" w:space="0" w:color="auto"/>
              <w:right w:val="single" w:sz="8" w:space="0" w:color="auto"/>
            </w:tcBorders>
            <w:shd w:val="clear" w:color="auto" w:fill="auto"/>
            <w:vAlign w:val="center"/>
            <w:hideMark/>
          </w:tcPr>
          <w:p w14:paraId="07F5C0F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Valoare coș</w:t>
            </w:r>
          </w:p>
        </w:tc>
        <w:tc>
          <w:tcPr>
            <w:tcW w:w="957" w:type="dxa"/>
            <w:tcBorders>
              <w:top w:val="single" w:sz="8" w:space="0" w:color="auto"/>
              <w:left w:val="nil"/>
              <w:bottom w:val="single" w:sz="8" w:space="0" w:color="auto"/>
              <w:right w:val="single" w:sz="8" w:space="0" w:color="auto"/>
            </w:tcBorders>
            <w:shd w:val="clear" w:color="auto" w:fill="auto"/>
            <w:vAlign w:val="center"/>
            <w:hideMark/>
          </w:tcPr>
          <w:p w14:paraId="79F8DD1B"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Inflație la sfârșitul anului</w:t>
            </w:r>
          </w:p>
        </w:tc>
        <w:tc>
          <w:tcPr>
            <w:tcW w:w="956" w:type="dxa"/>
            <w:tcBorders>
              <w:top w:val="single" w:sz="8" w:space="0" w:color="auto"/>
              <w:left w:val="nil"/>
              <w:bottom w:val="single" w:sz="8" w:space="0" w:color="auto"/>
              <w:right w:val="single" w:sz="8" w:space="0" w:color="auto"/>
            </w:tcBorders>
            <w:shd w:val="clear" w:color="auto" w:fill="auto"/>
            <w:vAlign w:val="center"/>
            <w:hideMark/>
          </w:tcPr>
          <w:p w14:paraId="5B474E0B"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Salariul minim brut</w:t>
            </w:r>
          </w:p>
        </w:tc>
        <w:tc>
          <w:tcPr>
            <w:tcW w:w="956" w:type="dxa"/>
            <w:tcBorders>
              <w:top w:val="single" w:sz="8" w:space="0" w:color="auto"/>
              <w:left w:val="nil"/>
              <w:bottom w:val="single" w:sz="8" w:space="0" w:color="auto"/>
              <w:right w:val="single" w:sz="8" w:space="0" w:color="auto"/>
            </w:tcBorders>
            <w:shd w:val="clear" w:color="auto" w:fill="auto"/>
            <w:vAlign w:val="center"/>
            <w:hideMark/>
          </w:tcPr>
          <w:p w14:paraId="5989D1F0"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Salariul minim net</w:t>
            </w:r>
          </w:p>
        </w:tc>
        <w:tc>
          <w:tcPr>
            <w:tcW w:w="958" w:type="dxa"/>
            <w:tcBorders>
              <w:top w:val="single" w:sz="8" w:space="0" w:color="auto"/>
              <w:left w:val="nil"/>
              <w:bottom w:val="single" w:sz="8" w:space="0" w:color="auto"/>
              <w:right w:val="single" w:sz="8" w:space="0" w:color="auto"/>
            </w:tcBorders>
            <w:shd w:val="clear" w:color="auto" w:fill="auto"/>
            <w:vAlign w:val="center"/>
            <w:hideMark/>
          </w:tcPr>
          <w:p w14:paraId="1747CB24"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Creștere salariul minim</w:t>
            </w:r>
          </w:p>
        </w:tc>
        <w:tc>
          <w:tcPr>
            <w:tcW w:w="957" w:type="dxa"/>
            <w:tcBorders>
              <w:top w:val="single" w:sz="8" w:space="0" w:color="auto"/>
              <w:left w:val="nil"/>
              <w:bottom w:val="single" w:sz="8" w:space="0" w:color="auto"/>
              <w:right w:val="single" w:sz="8" w:space="0" w:color="auto"/>
            </w:tcBorders>
            <w:shd w:val="clear" w:color="auto" w:fill="auto"/>
            <w:vAlign w:val="center"/>
            <w:hideMark/>
          </w:tcPr>
          <w:p w14:paraId="3848ED9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Valoare alocație</w:t>
            </w:r>
          </w:p>
        </w:tc>
        <w:tc>
          <w:tcPr>
            <w:tcW w:w="956" w:type="dxa"/>
            <w:tcBorders>
              <w:top w:val="single" w:sz="8" w:space="0" w:color="auto"/>
              <w:left w:val="nil"/>
              <w:bottom w:val="single" w:sz="8" w:space="0" w:color="auto"/>
              <w:right w:val="single" w:sz="8" w:space="0" w:color="auto"/>
            </w:tcBorders>
            <w:shd w:val="clear" w:color="auto" w:fill="auto"/>
            <w:vAlign w:val="center"/>
            <w:hideMark/>
          </w:tcPr>
          <w:p w14:paraId="60CF4E3C"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Salariul net ca % din ½ coș minu alocație</w:t>
            </w:r>
          </w:p>
        </w:tc>
      </w:tr>
      <w:tr w:rsidR="00000098" w:rsidRPr="00000098" w14:paraId="0EB8B9E5" w14:textId="77777777" w:rsidTr="00000098">
        <w:trPr>
          <w:trHeight w:val="540"/>
          <w:jc w:val="center"/>
        </w:trPr>
        <w:tc>
          <w:tcPr>
            <w:tcW w:w="987" w:type="dxa"/>
            <w:vMerge w:val="restart"/>
            <w:tcBorders>
              <w:top w:val="nil"/>
              <w:left w:val="single" w:sz="8" w:space="0" w:color="auto"/>
              <w:right w:val="single" w:sz="8" w:space="0" w:color="auto"/>
            </w:tcBorders>
            <w:shd w:val="clear" w:color="auto" w:fill="auto"/>
            <w:vAlign w:val="center"/>
            <w:hideMark/>
          </w:tcPr>
          <w:p w14:paraId="3F0E3BF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Valori reale</w:t>
            </w:r>
          </w:p>
          <w:p w14:paraId="20204B54"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11F69702"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3C0BD1C3"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2C7AFBDC"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051CEE7B"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73AE7CFC" w14:textId="41F5AA11"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tc>
        <w:tc>
          <w:tcPr>
            <w:tcW w:w="736" w:type="dxa"/>
            <w:tcBorders>
              <w:top w:val="nil"/>
              <w:left w:val="nil"/>
              <w:bottom w:val="single" w:sz="8" w:space="0" w:color="auto"/>
              <w:right w:val="single" w:sz="8" w:space="0" w:color="auto"/>
            </w:tcBorders>
            <w:shd w:val="clear" w:color="auto" w:fill="auto"/>
            <w:vAlign w:val="center"/>
            <w:hideMark/>
          </w:tcPr>
          <w:p w14:paraId="07FDC21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2018</w:t>
            </w:r>
          </w:p>
        </w:tc>
        <w:tc>
          <w:tcPr>
            <w:tcW w:w="957" w:type="dxa"/>
            <w:tcBorders>
              <w:top w:val="nil"/>
              <w:left w:val="nil"/>
              <w:bottom w:val="single" w:sz="8" w:space="0" w:color="auto"/>
              <w:right w:val="single" w:sz="8" w:space="0" w:color="auto"/>
            </w:tcBorders>
            <w:shd w:val="clear" w:color="auto" w:fill="auto"/>
            <w:vAlign w:val="center"/>
            <w:hideMark/>
          </w:tcPr>
          <w:p w14:paraId="2D0CA20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6762 lei</w:t>
            </w:r>
          </w:p>
        </w:tc>
        <w:tc>
          <w:tcPr>
            <w:tcW w:w="957" w:type="dxa"/>
            <w:tcBorders>
              <w:top w:val="nil"/>
              <w:left w:val="nil"/>
              <w:bottom w:val="single" w:sz="8" w:space="0" w:color="auto"/>
              <w:right w:val="single" w:sz="8" w:space="0" w:color="auto"/>
            </w:tcBorders>
            <w:shd w:val="clear" w:color="auto" w:fill="auto"/>
            <w:vAlign w:val="center"/>
            <w:hideMark/>
          </w:tcPr>
          <w:p w14:paraId="58B1026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3,3%</w:t>
            </w:r>
          </w:p>
        </w:tc>
        <w:tc>
          <w:tcPr>
            <w:tcW w:w="956" w:type="dxa"/>
            <w:tcBorders>
              <w:top w:val="nil"/>
              <w:left w:val="nil"/>
              <w:bottom w:val="single" w:sz="8" w:space="0" w:color="auto"/>
              <w:right w:val="single" w:sz="8" w:space="0" w:color="auto"/>
            </w:tcBorders>
            <w:shd w:val="clear" w:color="auto" w:fill="auto"/>
            <w:vAlign w:val="center"/>
            <w:hideMark/>
          </w:tcPr>
          <w:p w14:paraId="19B5AF5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1900 lei</w:t>
            </w:r>
          </w:p>
        </w:tc>
        <w:tc>
          <w:tcPr>
            <w:tcW w:w="956" w:type="dxa"/>
            <w:tcBorders>
              <w:top w:val="nil"/>
              <w:left w:val="nil"/>
              <w:bottom w:val="single" w:sz="8" w:space="0" w:color="auto"/>
              <w:right w:val="single" w:sz="8" w:space="0" w:color="auto"/>
            </w:tcBorders>
            <w:shd w:val="clear" w:color="auto" w:fill="auto"/>
            <w:vAlign w:val="center"/>
            <w:hideMark/>
          </w:tcPr>
          <w:p w14:paraId="6A145D7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1162 lei</w:t>
            </w:r>
          </w:p>
        </w:tc>
        <w:tc>
          <w:tcPr>
            <w:tcW w:w="958" w:type="dxa"/>
            <w:tcBorders>
              <w:top w:val="nil"/>
              <w:left w:val="nil"/>
              <w:bottom w:val="single" w:sz="8" w:space="0" w:color="auto"/>
              <w:right w:val="single" w:sz="8" w:space="0" w:color="auto"/>
            </w:tcBorders>
            <w:shd w:val="clear" w:color="auto" w:fill="auto"/>
            <w:vAlign w:val="center"/>
            <w:hideMark/>
          </w:tcPr>
          <w:p w14:paraId="2A53902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tc>
        <w:tc>
          <w:tcPr>
            <w:tcW w:w="957" w:type="dxa"/>
            <w:tcBorders>
              <w:top w:val="nil"/>
              <w:left w:val="nil"/>
              <w:bottom w:val="single" w:sz="8" w:space="0" w:color="auto"/>
              <w:right w:val="single" w:sz="8" w:space="0" w:color="auto"/>
            </w:tcBorders>
            <w:shd w:val="clear" w:color="auto" w:fill="auto"/>
            <w:vAlign w:val="center"/>
            <w:hideMark/>
          </w:tcPr>
          <w:p w14:paraId="62CDF8C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84 lei</w:t>
            </w:r>
          </w:p>
        </w:tc>
        <w:tc>
          <w:tcPr>
            <w:tcW w:w="956" w:type="dxa"/>
            <w:tcBorders>
              <w:top w:val="nil"/>
              <w:left w:val="nil"/>
              <w:bottom w:val="single" w:sz="8" w:space="0" w:color="auto"/>
              <w:right w:val="single" w:sz="8" w:space="0" w:color="auto"/>
            </w:tcBorders>
            <w:shd w:val="clear" w:color="auto" w:fill="auto"/>
            <w:vAlign w:val="center"/>
            <w:hideMark/>
          </w:tcPr>
          <w:p w14:paraId="12CE484F"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35,2%</w:t>
            </w:r>
          </w:p>
        </w:tc>
      </w:tr>
      <w:tr w:rsidR="00000098" w:rsidRPr="00000098" w14:paraId="6DFAA614"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5FC04CB3" w14:textId="430C0450"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6F4B45F1"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2019</w:t>
            </w:r>
          </w:p>
        </w:tc>
        <w:tc>
          <w:tcPr>
            <w:tcW w:w="957" w:type="dxa"/>
            <w:tcBorders>
              <w:top w:val="nil"/>
              <w:left w:val="nil"/>
              <w:bottom w:val="single" w:sz="8" w:space="0" w:color="auto"/>
              <w:right w:val="single" w:sz="8" w:space="0" w:color="auto"/>
            </w:tcBorders>
            <w:shd w:val="clear" w:color="auto" w:fill="auto"/>
            <w:vAlign w:val="center"/>
            <w:hideMark/>
          </w:tcPr>
          <w:p w14:paraId="35C7235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6954 lei</w:t>
            </w:r>
          </w:p>
        </w:tc>
        <w:tc>
          <w:tcPr>
            <w:tcW w:w="957" w:type="dxa"/>
            <w:tcBorders>
              <w:top w:val="nil"/>
              <w:left w:val="nil"/>
              <w:bottom w:val="single" w:sz="8" w:space="0" w:color="auto"/>
              <w:right w:val="single" w:sz="8" w:space="0" w:color="auto"/>
            </w:tcBorders>
            <w:shd w:val="clear" w:color="auto" w:fill="auto"/>
            <w:vAlign w:val="center"/>
            <w:hideMark/>
          </w:tcPr>
          <w:p w14:paraId="33A4878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w:t>
            </w:r>
          </w:p>
        </w:tc>
        <w:tc>
          <w:tcPr>
            <w:tcW w:w="956" w:type="dxa"/>
            <w:tcBorders>
              <w:top w:val="nil"/>
              <w:left w:val="nil"/>
              <w:bottom w:val="single" w:sz="8" w:space="0" w:color="auto"/>
              <w:right w:val="single" w:sz="8" w:space="0" w:color="auto"/>
            </w:tcBorders>
            <w:shd w:val="clear" w:color="auto" w:fill="auto"/>
            <w:vAlign w:val="center"/>
            <w:hideMark/>
          </w:tcPr>
          <w:p w14:paraId="49EFBFE6"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2080 lei</w:t>
            </w:r>
          </w:p>
        </w:tc>
        <w:tc>
          <w:tcPr>
            <w:tcW w:w="956" w:type="dxa"/>
            <w:tcBorders>
              <w:top w:val="nil"/>
              <w:left w:val="nil"/>
              <w:bottom w:val="single" w:sz="8" w:space="0" w:color="auto"/>
              <w:right w:val="single" w:sz="8" w:space="0" w:color="auto"/>
            </w:tcBorders>
            <w:shd w:val="clear" w:color="auto" w:fill="auto"/>
            <w:vAlign w:val="center"/>
            <w:hideMark/>
          </w:tcPr>
          <w:p w14:paraId="0DA1B871"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1263 lei</w:t>
            </w:r>
          </w:p>
        </w:tc>
        <w:tc>
          <w:tcPr>
            <w:tcW w:w="958" w:type="dxa"/>
            <w:tcBorders>
              <w:top w:val="nil"/>
              <w:left w:val="nil"/>
              <w:bottom w:val="single" w:sz="8" w:space="0" w:color="auto"/>
              <w:right w:val="single" w:sz="8" w:space="0" w:color="auto"/>
            </w:tcBorders>
            <w:shd w:val="clear" w:color="auto" w:fill="auto"/>
            <w:vAlign w:val="center"/>
            <w:hideMark/>
          </w:tcPr>
          <w:p w14:paraId="102D9162"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8,7%</w:t>
            </w:r>
          </w:p>
        </w:tc>
        <w:tc>
          <w:tcPr>
            <w:tcW w:w="957" w:type="dxa"/>
            <w:tcBorders>
              <w:top w:val="nil"/>
              <w:left w:val="nil"/>
              <w:bottom w:val="single" w:sz="8" w:space="0" w:color="auto"/>
              <w:right w:val="single" w:sz="8" w:space="0" w:color="auto"/>
            </w:tcBorders>
            <w:shd w:val="clear" w:color="auto" w:fill="auto"/>
            <w:vAlign w:val="center"/>
            <w:hideMark/>
          </w:tcPr>
          <w:p w14:paraId="3F2F174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150 lei</w:t>
            </w:r>
          </w:p>
        </w:tc>
        <w:tc>
          <w:tcPr>
            <w:tcW w:w="956" w:type="dxa"/>
            <w:tcBorders>
              <w:top w:val="nil"/>
              <w:left w:val="nil"/>
              <w:bottom w:val="single" w:sz="8" w:space="0" w:color="auto"/>
              <w:right w:val="single" w:sz="8" w:space="0" w:color="auto"/>
            </w:tcBorders>
            <w:shd w:val="clear" w:color="auto" w:fill="auto"/>
            <w:vAlign w:val="center"/>
            <w:hideMark/>
          </w:tcPr>
          <w:p w14:paraId="0C9C948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38%</w:t>
            </w:r>
          </w:p>
        </w:tc>
      </w:tr>
      <w:tr w:rsidR="00000098" w:rsidRPr="00000098" w14:paraId="19E35BA6"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43C23F75" w14:textId="2058D91F"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0E093E74"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2020</w:t>
            </w:r>
          </w:p>
        </w:tc>
        <w:tc>
          <w:tcPr>
            <w:tcW w:w="957" w:type="dxa"/>
            <w:tcBorders>
              <w:top w:val="nil"/>
              <w:left w:val="nil"/>
              <w:bottom w:val="single" w:sz="8" w:space="0" w:color="auto"/>
              <w:right w:val="single" w:sz="8" w:space="0" w:color="auto"/>
            </w:tcBorders>
            <w:shd w:val="clear" w:color="auto" w:fill="auto"/>
            <w:vAlign w:val="center"/>
            <w:hideMark/>
          </w:tcPr>
          <w:p w14:paraId="13AD9E8B"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7278 lei</w:t>
            </w:r>
          </w:p>
        </w:tc>
        <w:tc>
          <w:tcPr>
            <w:tcW w:w="957" w:type="dxa"/>
            <w:tcBorders>
              <w:top w:val="nil"/>
              <w:left w:val="nil"/>
              <w:bottom w:val="single" w:sz="8" w:space="0" w:color="auto"/>
              <w:right w:val="single" w:sz="8" w:space="0" w:color="auto"/>
            </w:tcBorders>
            <w:shd w:val="clear" w:color="auto" w:fill="auto"/>
            <w:vAlign w:val="center"/>
            <w:hideMark/>
          </w:tcPr>
          <w:p w14:paraId="06A7E90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2,1%</w:t>
            </w:r>
          </w:p>
        </w:tc>
        <w:tc>
          <w:tcPr>
            <w:tcW w:w="956" w:type="dxa"/>
            <w:tcBorders>
              <w:top w:val="nil"/>
              <w:left w:val="nil"/>
              <w:bottom w:val="single" w:sz="8" w:space="0" w:color="auto"/>
              <w:right w:val="single" w:sz="8" w:space="0" w:color="auto"/>
            </w:tcBorders>
            <w:shd w:val="clear" w:color="auto" w:fill="auto"/>
            <w:vAlign w:val="center"/>
            <w:hideMark/>
          </w:tcPr>
          <w:p w14:paraId="72A383A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2230 lei</w:t>
            </w:r>
          </w:p>
        </w:tc>
        <w:tc>
          <w:tcPr>
            <w:tcW w:w="956" w:type="dxa"/>
            <w:tcBorders>
              <w:top w:val="nil"/>
              <w:left w:val="nil"/>
              <w:bottom w:val="single" w:sz="8" w:space="0" w:color="auto"/>
              <w:right w:val="single" w:sz="8" w:space="0" w:color="auto"/>
            </w:tcBorders>
            <w:shd w:val="clear" w:color="auto" w:fill="auto"/>
            <w:vAlign w:val="center"/>
            <w:hideMark/>
          </w:tcPr>
          <w:p w14:paraId="05FEED9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1346 lei</w:t>
            </w:r>
          </w:p>
        </w:tc>
        <w:tc>
          <w:tcPr>
            <w:tcW w:w="958" w:type="dxa"/>
            <w:tcBorders>
              <w:top w:val="nil"/>
              <w:left w:val="nil"/>
              <w:bottom w:val="single" w:sz="8" w:space="0" w:color="auto"/>
              <w:right w:val="single" w:sz="8" w:space="0" w:color="auto"/>
            </w:tcBorders>
            <w:shd w:val="clear" w:color="auto" w:fill="auto"/>
            <w:vAlign w:val="center"/>
            <w:hideMark/>
          </w:tcPr>
          <w:p w14:paraId="1FEDBC2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6,6%</w:t>
            </w:r>
          </w:p>
        </w:tc>
        <w:tc>
          <w:tcPr>
            <w:tcW w:w="957" w:type="dxa"/>
            <w:tcBorders>
              <w:top w:val="nil"/>
              <w:left w:val="nil"/>
              <w:bottom w:val="single" w:sz="8" w:space="0" w:color="auto"/>
              <w:right w:val="single" w:sz="8" w:space="0" w:color="auto"/>
            </w:tcBorders>
            <w:shd w:val="clear" w:color="auto" w:fill="auto"/>
            <w:vAlign w:val="center"/>
            <w:hideMark/>
          </w:tcPr>
          <w:p w14:paraId="7E581F7F"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184 lei</w:t>
            </w:r>
          </w:p>
        </w:tc>
        <w:tc>
          <w:tcPr>
            <w:tcW w:w="956" w:type="dxa"/>
            <w:tcBorders>
              <w:top w:val="nil"/>
              <w:left w:val="nil"/>
              <w:bottom w:val="single" w:sz="8" w:space="0" w:color="auto"/>
              <w:right w:val="single" w:sz="8" w:space="0" w:color="auto"/>
            </w:tcBorders>
            <w:shd w:val="clear" w:color="auto" w:fill="auto"/>
            <w:vAlign w:val="center"/>
            <w:hideMark/>
          </w:tcPr>
          <w:p w14:paraId="15BD4A9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39%</w:t>
            </w:r>
          </w:p>
        </w:tc>
      </w:tr>
      <w:tr w:rsidR="00000098" w:rsidRPr="00000098" w14:paraId="6EC267C1"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423FAC26" w14:textId="33EE098C"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1FBBF42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2021</w:t>
            </w:r>
          </w:p>
        </w:tc>
        <w:tc>
          <w:tcPr>
            <w:tcW w:w="957" w:type="dxa"/>
            <w:tcBorders>
              <w:top w:val="nil"/>
              <w:left w:val="nil"/>
              <w:bottom w:val="single" w:sz="8" w:space="0" w:color="auto"/>
              <w:right w:val="single" w:sz="8" w:space="0" w:color="auto"/>
            </w:tcBorders>
            <w:shd w:val="clear" w:color="auto" w:fill="auto"/>
            <w:vAlign w:val="center"/>
            <w:hideMark/>
          </w:tcPr>
          <w:p w14:paraId="0892B83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7233 lei</w:t>
            </w:r>
          </w:p>
        </w:tc>
        <w:tc>
          <w:tcPr>
            <w:tcW w:w="957" w:type="dxa"/>
            <w:tcBorders>
              <w:top w:val="nil"/>
              <w:left w:val="nil"/>
              <w:bottom w:val="single" w:sz="8" w:space="0" w:color="auto"/>
              <w:right w:val="single" w:sz="8" w:space="0" w:color="auto"/>
            </w:tcBorders>
            <w:shd w:val="clear" w:color="auto" w:fill="auto"/>
            <w:vAlign w:val="center"/>
            <w:hideMark/>
          </w:tcPr>
          <w:p w14:paraId="7FB2D2D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8,2%</w:t>
            </w:r>
          </w:p>
        </w:tc>
        <w:tc>
          <w:tcPr>
            <w:tcW w:w="956" w:type="dxa"/>
            <w:tcBorders>
              <w:top w:val="nil"/>
              <w:left w:val="nil"/>
              <w:bottom w:val="single" w:sz="8" w:space="0" w:color="auto"/>
              <w:right w:val="single" w:sz="8" w:space="0" w:color="auto"/>
            </w:tcBorders>
            <w:shd w:val="clear" w:color="auto" w:fill="auto"/>
            <w:vAlign w:val="center"/>
            <w:hideMark/>
          </w:tcPr>
          <w:p w14:paraId="0A4FD51B"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2300 lei</w:t>
            </w:r>
          </w:p>
        </w:tc>
        <w:tc>
          <w:tcPr>
            <w:tcW w:w="956" w:type="dxa"/>
            <w:tcBorders>
              <w:top w:val="nil"/>
              <w:left w:val="nil"/>
              <w:bottom w:val="single" w:sz="8" w:space="0" w:color="auto"/>
              <w:right w:val="single" w:sz="8" w:space="0" w:color="auto"/>
            </w:tcBorders>
            <w:shd w:val="clear" w:color="auto" w:fill="auto"/>
            <w:vAlign w:val="center"/>
            <w:hideMark/>
          </w:tcPr>
          <w:p w14:paraId="33AF337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1386 lei</w:t>
            </w:r>
          </w:p>
        </w:tc>
        <w:tc>
          <w:tcPr>
            <w:tcW w:w="958" w:type="dxa"/>
            <w:tcBorders>
              <w:top w:val="nil"/>
              <w:left w:val="nil"/>
              <w:bottom w:val="single" w:sz="8" w:space="0" w:color="auto"/>
              <w:right w:val="single" w:sz="8" w:space="0" w:color="auto"/>
            </w:tcBorders>
            <w:shd w:val="clear" w:color="auto" w:fill="auto"/>
            <w:vAlign w:val="center"/>
            <w:hideMark/>
          </w:tcPr>
          <w:p w14:paraId="6356411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w:t>
            </w:r>
          </w:p>
        </w:tc>
        <w:tc>
          <w:tcPr>
            <w:tcW w:w="957" w:type="dxa"/>
            <w:tcBorders>
              <w:top w:val="nil"/>
              <w:left w:val="nil"/>
              <w:bottom w:val="single" w:sz="8" w:space="0" w:color="auto"/>
              <w:right w:val="single" w:sz="8" w:space="0" w:color="auto"/>
            </w:tcBorders>
            <w:shd w:val="clear" w:color="auto" w:fill="auto"/>
            <w:vAlign w:val="center"/>
            <w:hideMark/>
          </w:tcPr>
          <w:p w14:paraId="7F0BAF32"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214 lei</w:t>
            </w:r>
          </w:p>
        </w:tc>
        <w:tc>
          <w:tcPr>
            <w:tcW w:w="956" w:type="dxa"/>
            <w:tcBorders>
              <w:top w:val="nil"/>
              <w:left w:val="nil"/>
              <w:bottom w:val="single" w:sz="8" w:space="0" w:color="auto"/>
              <w:right w:val="single" w:sz="8" w:space="0" w:color="auto"/>
            </w:tcBorders>
            <w:shd w:val="clear" w:color="auto" w:fill="auto"/>
            <w:vAlign w:val="center"/>
            <w:hideMark/>
          </w:tcPr>
          <w:p w14:paraId="7E4D18E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40%</w:t>
            </w:r>
          </w:p>
        </w:tc>
      </w:tr>
      <w:tr w:rsidR="00000098" w:rsidRPr="00000098" w14:paraId="5737BA29"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33135CB6" w14:textId="1D996C9C"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08D886D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2022</w:t>
            </w:r>
          </w:p>
        </w:tc>
        <w:tc>
          <w:tcPr>
            <w:tcW w:w="957" w:type="dxa"/>
            <w:tcBorders>
              <w:top w:val="nil"/>
              <w:left w:val="nil"/>
              <w:bottom w:val="single" w:sz="8" w:space="0" w:color="auto"/>
              <w:right w:val="single" w:sz="8" w:space="0" w:color="auto"/>
            </w:tcBorders>
            <w:shd w:val="clear" w:color="auto" w:fill="auto"/>
            <w:vAlign w:val="center"/>
            <w:hideMark/>
          </w:tcPr>
          <w:p w14:paraId="75BA907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8659 lei</w:t>
            </w:r>
          </w:p>
        </w:tc>
        <w:tc>
          <w:tcPr>
            <w:tcW w:w="957" w:type="dxa"/>
            <w:tcBorders>
              <w:top w:val="nil"/>
              <w:left w:val="nil"/>
              <w:bottom w:val="single" w:sz="8" w:space="0" w:color="auto"/>
              <w:right w:val="single" w:sz="8" w:space="0" w:color="auto"/>
            </w:tcBorders>
            <w:shd w:val="clear" w:color="auto" w:fill="auto"/>
            <w:vAlign w:val="center"/>
            <w:hideMark/>
          </w:tcPr>
          <w:p w14:paraId="114530A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16,4%</w:t>
            </w:r>
          </w:p>
        </w:tc>
        <w:tc>
          <w:tcPr>
            <w:tcW w:w="956" w:type="dxa"/>
            <w:tcBorders>
              <w:top w:val="nil"/>
              <w:left w:val="nil"/>
              <w:bottom w:val="single" w:sz="8" w:space="0" w:color="auto"/>
              <w:right w:val="single" w:sz="8" w:space="0" w:color="auto"/>
            </w:tcBorders>
            <w:shd w:val="clear" w:color="auto" w:fill="auto"/>
            <w:vAlign w:val="center"/>
            <w:hideMark/>
          </w:tcPr>
          <w:p w14:paraId="266911A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2550 lei</w:t>
            </w:r>
          </w:p>
        </w:tc>
        <w:tc>
          <w:tcPr>
            <w:tcW w:w="956" w:type="dxa"/>
            <w:tcBorders>
              <w:top w:val="nil"/>
              <w:left w:val="nil"/>
              <w:bottom w:val="single" w:sz="8" w:space="0" w:color="auto"/>
              <w:right w:val="single" w:sz="8" w:space="0" w:color="auto"/>
            </w:tcBorders>
            <w:shd w:val="clear" w:color="auto" w:fill="auto"/>
            <w:vAlign w:val="center"/>
            <w:hideMark/>
          </w:tcPr>
          <w:p w14:paraId="27D7CF80"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1524 lei</w:t>
            </w:r>
          </w:p>
        </w:tc>
        <w:tc>
          <w:tcPr>
            <w:tcW w:w="958" w:type="dxa"/>
            <w:tcBorders>
              <w:top w:val="nil"/>
              <w:left w:val="nil"/>
              <w:bottom w:val="single" w:sz="8" w:space="0" w:color="auto"/>
              <w:right w:val="single" w:sz="8" w:space="0" w:color="auto"/>
            </w:tcBorders>
            <w:shd w:val="clear" w:color="auto" w:fill="auto"/>
            <w:vAlign w:val="center"/>
            <w:hideMark/>
          </w:tcPr>
          <w:p w14:paraId="1D401714"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w:t>
            </w:r>
          </w:p>
        </w:tc>
        <w:tc>
          <w:tcPr>
            <w:tcW w:w="957" w:type="dxa"/>
            <w:tcBorders>
              <w:top w:val="nil"/>
              <w:left w:val="nil"/>
              <w:bottom w:val="single" w:sz="8" w:space="0" w:color="auto"/>
              <w:right w:val="single" w:sz="8" w:space="0" w:color="auto"/>
            </w:tcBorders>
            <w:shd w:val="clear" w:color="auto" w:fill="auto"/>
            <w:vAlign w:val="center"/>
            <w:hideMark/>
          </w:tcPr>
          <w:p w14:paraId="3EC208DF"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243 lei</w:t>
            </w:r>
          </w:p>
        </w:tc>
        <w:tc>
          <w:tcPr>
            <w:tcW w:w="956" w:type="dxa"/>
            <w:tcBorders>
              <w:top w:val="nil"/>
              <w:left w:val="nil"/>
              <w:bottom w:val="single" w:sz="8" w:space="0" w:color="auto"/>
              <w:right w:val="single" w:sz="8" w:space="0" w:color="auto"/>
            </w:tcBorders>
            <w:shd w:val="clear" w:color="auto" w:fill="auto"/>
            <w:vAlign w:val="center"/>
            <w:hideMark/>
          </w:tcPr>
          <w:p w14:paraId="34DB2C1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37,3%</w:t>
            </w:r>
          </w:p>
        </w:tc>
      </w:tr>
      <w:tr w:rsidR="00000098" w:rsidRPr="00000098" w14:paraId="1F9B2FB0"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0FED9322" w14:textId="5F42AFB3"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283249D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2023</w:t>
            </w:r>
          </w:p>
        </w:tc>
        <w:tc>
          <w:tcPr>
            <w:tcW w:w="957" w:type="dxa"/>
            <w:tcBorders>
              <w:top w:val="nil"/>
              <w:left w:val="nil"/>
              <w:bottom w:val="single" w:sz="8" w:space="0" w:color="auto"/>
              <w:right w:val="single" w:sz="8" w:space="0" w:color="auto"/>
            </w:tcBorders>
            <w:shd w:val="clear" w:color="auto" w:fill="auto"/>
            <w:vAlign w:val="center"/>
            <w:hideMark/>
          </w:tcPr>
          <w:p w14:paraId="2C4738FC"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9978 lei</w:t>
            </w:r>
          </w:p>
        </w:tc>
        <w:tc>
          <w:tcPr>
            <w:tcW w:w="957" w:type="dxa"/>
            <w:tcBorders>
              <w:top w:val="nil"/>
              <w:left w:val="nil"/>
              <w:bottom w:val="single" w:sz="8" w:space="0" w:color="auto"/>
              <w:right w:val="single" w:sz="8" w:space="0" w:color="auto"/>
            </w:tcBorders>
            <w:shd w:val="clear" w:color="auto" w:fill="auto"/>
            <w:vAlign w:val="center"/>
            <w:hideMark/>
          </w:tcPr>
          <w:p w14:paraId="4361F5C3"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6,7%</w:t>
            </w:r>
          </w:p>
        </w:tc>
        <w:tc>
          <w:tcPr>
            <w:tcW w:w="956" w:type="dxa"/>
            <w:tcBorders>
              <w:top w:val="nil"/>
              <w:left w:val="nil"/>
              <w:bottom w:val="single" w:sz="8" w:space="0" w:color="auto"/>
              <w:right w:val="single" w:sz="8" w:space="0" w:color="auto"/>
            </w:tcBorders>
            <w:shd w:val="clear" w:color="auto" w:fill="auto"/>
            <w:vAlign w:val="center"/>
            <w:hideMark/>
          </w:tcPr>
          <w:p w14:paraId="201E07F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3000 lei</w:t>
            </w:r>
          </w:p>
        </w:tc>
        <w:tc>
          <w:tcPr>
            <w:tcW w:w="956" w:type="dxa"/>
            <w:tcBorders>
              <w:top w:val="nil"/>
              <w:left w:val="nil"/>
              <w:bottom w:val="single" w:sz="8" w:space="0" w:color="auto"/>
              <w:right w:val="single" w:sz="8" w:space="0" w:color="auto"/>
            </w:tcBorders>
            <w:shd w:val="clear" w:color="auto" w:fill="auto"/>
            <w:vAlign w:val="center"/>
            <w:hideMark/>
          </w:tcPr>
          <w:p w14:paraId="3B25600F"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1868 lei</w:t>
            </w:r>
          </w:p>
        </w:tc>
        <w:tc>
          <w:tcPr>
            <w:tcW w:w="958" w:type="dxa"/>
            <w:tcBorders>
              <w:top w:val="nil"/>
              <w:left w:val="nil"/>
              <w:bottom w:val="single" w:sz="8" w:space="0" w:color="auto"/>
              <w:right w:val="single" w:sz="8" w:space="0" w:color="auto"/>
            </w:tcBorders>
            <w:shd w:val="clear" w:color="auto" w:fill="auto"/>
            <w:vAlign w:val="center"/>
            <w:hideMark/>
          </w:tcPr>
          <w:p w14:paraId="23E2EF8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24,5%</w:t>
            </w:r>
          </w:p>
        </w:tc>
        <w:tc>
          <w:tcPr>
            <w:tcW w:w="957" w:type="dxa"/>
            <w:tcBorders>
              <w:top w:val="nil"/>
              <w:left w:val="nil"/>
              <w:bottom w:val="single" w:sz="8" w:space="0" w:color="auto"/>
              <w:right w:val="single" w:sz="8" w:space="0" w:color="auto"/>
            </w:tcBorders>
            <w:shd w:val="clear" w:color="auto" w:fill="auto"/>
            <w:vAlign w:val="center"/>
            <w:hideMark/>
          </w:tcPr>
          <w:p w14:paraId="540CAE5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256 lei</w:t>
            </w:r>
          </w:p>
        </w:tc>
        <w:tc>
          <w:tcPr>
            <w:tcW w:w="956" w:type="dxa"/>
            <w:tcBorders>
              <w:top w:val="nil"/>
              <w:left w:val="nil"/>
              <w:bottom w:val="single" w:sz="8" w:space="0" w:color="auto"/>
              <w:right w:val="single" w:sz="8" w:space="0" w:color="auto"/>
            </w:tcBorders>
            <w:shd w:val="clear" w:color="auto" w:fill="auto"/>
            <w:vAlign w:val="center"/>
            <w:hideMark/>
          </w:tcPr>
          <w:p w14:paraId="058A2431"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40,1%</w:t>
            </w:r>
          </w:p>
        </w:tc>
      </w:tr>
      <w:tr w:rsidR="00000098" w:rsidRPr="00000098" w14:paraId="6E08A84D" w14:textId="77777777" w:rsidTr="00000098">
        <w:trPr>
          <w:trHeight w:val="300"/>
          <w:jc w:val="center"/>
        </w:trPr>
        <w:tc>
          <w:tcPr>
            <w:tcW w:w="987" w:type="dxa"/>
            <w:vMerge/>
            <w:tcBorders>
              <w:left w:val="single" w:sz="8" w:space="0" w:color="auto"/>
              <w:bottom w:val="single" w:sz="8" w:space="0" w:color="auto"/>
              <w:right w:val="single" w:sz="8" w:space="0" w:color="auto"/>
            </w:tcBorders>
            <w:shd w:val="clear" w:color="auto" w:fill="auto"/>
            <w:vAlign w:val="center"/>
            <w:hideMark/>
          </w:tcPr>
          <w:p w14:paraId="1F813C25" w14:textId="10DB14E2"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3BED1CA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2024</w:t>
            </w:r>
          </w:p>
        </w:tc>
        <w:tc>
          <w:tcPr>
            <w:tcW w:w="957" w:type="dxa"/>
            <w:tcBorders>
              <w:top w:val="nil"/>
              <w:left w:val="nil"/>
              <w:bottom w:val="single" w:sz="8" w:space="0" w:color="auto"/>
              <w:right w:val="single" w:sz="8" w:space="0" w:color="auto"/>
            </w:tcBorders>
            <w:shd w:val="clear" w:color="auto" w:fill="auto"/>
            <w:vAlign w:val="center"/>
            <w:hideMark/>
          </w:tcPr>
          <w:p w14:paraId="1271EC6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10450 lei</w:t>
            </w:r>
          </w:p>
        </w:tc>
        <w:tc>
          <w:tcPr>
            <w:tcW w:w="957" w:type="dxa"/>
            <w:tcBorders>
              <w:top w:val="nil"/>
              <w:left w:val="nil"/>
              <w:bottom w:val="single" w:sz="8" w:space="0" w:color="auto"/>
              <w:right w:val="single" w:sz="8" w:space="0" w:color="auto"/>
            </w:tcBorders>
            <w:shd w:val="clear" w:color="auto" w:fill="auto"/>
            <w:vAlign w:val="center"/>
            <w:hideMark/>
          </w:tcPr>
          <w:p w14:paraId="3786A67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w:t>
            </w:r>
          </w:p>
        </w:tc>
        <w:tc>
          <w:tcPr>
            <w:tcW w:w="956" w:type="dxa"/>
            <w:tcBorders>
              <w:top w:val="nil"/>
              <w:left w:val="nil"/>
              <w:bottom w:val="single" w:sz="8" w:space="0" w:color="auto"/>
              <w:right w:val="single" w:sz="8" w:space="0" w:color="auto"/>
            </w:tcBorders>
            <w:shd w:val="clear" w:color="auto" w:fill="auto"/>
            <w:vAlign w:val="center"/>
            <w:hideMark/>
          </w:tcPr>
          <w:p w14:paraId="43AD4A3F"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3700 lei</w:t>
            </w:r>
          </w:p>
        </w:tc>
        <w:tc>
          <w:tcPr>
            <w:tcW w:w="956" w:type="dxa"/>
            <w:tcBorders>
              <w:top w:val="nil"/>
              <w:left w:val="nil"/>
              <w:bottom w:val="single" w:sz="8" w:space="0" w:color="auto"/>
              <w:right w:val="single" w:sz="8" w:space="0" w:color="auto"/>
            </w:tcBorders>
            <w:shd w:val="clear" w:color="auto" w:fill="auto"/>
            <w:vAlign w:val="center"/>
            <w:hideMark/>
          </w:tcPr>
          <w:p w14:paraId="6A062801"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2363 lei</w:t>
            </w:r>
          </w:p>
        </w:tc>
        <w:tc>
          <w:tcPr>
            <w:tcW w:w="958" w:type="dxa"/>
            <w:tcBorders>
              <w:top w:val="nil"/>
              <w:left w:val="nil"/>
              <w:bottom w:val="single" w:sz="8" w:space="0" w:color="auto"/>
              <w:right w:val="single" w:sz="8" w:space="0" w:color="auto"/>
            </w:tcBorders>
            <w:shd w:val="clear" w:color="auto" w:fill="auto"/>
            <w:vAlign w:val="center"/>
            <w:hideMark/>
          </w:tcPr>
          <w:p w14:paraId="0939956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24,5%</w:t>
            </w:r>
          </w:p>
        </w:tc>
        <w:tc>
          <w:tcPr>
            <w:tcW w:w="957" w:type="dxa"/>
            <w:tcBorders>
              <w:top w:val="nil"/>
              <w:left w:val="nil"/>
              <w:bottom w:val="single" w:sz="8" w:space="0" w:color="auto"/>
              <w:right w:val="single" w:sz="8" w:space="0" w:color="auto"/>
            </w:tcBorders>
            <w:shd w:val="clear" w:color="auto" w:fill="auto"/>
            <w:vAlign w:val="center"/>
            <w:hideMark/>
          </w:tcPr>
          <w:p w14:paraId="0124EDC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292 lei</w:t>
            </w:r>
          </w:p>
        </w:tc>
        <w:tc>
          <w:tcPr>
            <w:tcW w:w="956" w:type="dxa"/>
            <w:tcBorders>
              <w:top w:val="nil"/>
              <w:left w:val="nil"/>
              <w:bottom w:val="single" w:sz="8" w:space="0" w:color="auto"/>
              <w:right w:val="single" w:sz="8" w:space="0" w:color="auto"/>
            </w:tcBorders>
            <w:shd w:val="clear" w:color="auto" w:fill="auto"/>
            <w:vAlign w:val="center"/>
            <w:hideMark/>
          </w:tcPr>
          <w:p w14:paraId="00C3AE76"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47,9%</w:t>
            </w:r>
          </w:p>
        </w:tc>
      </w:tr>
      <w:tr w:rsidR="00000098" w:rsidRPr="00000098" w14:paraId="391CA762" w14:textId="77777777" w:rsidTr="00000098">
        <w:trPr>
          <w:trHeight w:val="540"/>
          <w:jc w:val="center"/>
        </w:trPr>
        <w:tc>
          <w:tcPr>
            <w:tcW w:w="987" w:type="dxa"/>
            <w:vMerge w:val="restart"/>
            <w:tcBorders>
              <w:top w:val="nil"/>
              <w:left w:val="single" w:sz="8" w:space="0" w:color="auto"/>
              <w:right w:val="single" w:sz="8" w:space="0" w:color="auto"/>
            </w:tcBorders>
            <w:shd w:val="clear" w:color="auto" w:fill="auto"/>
            <w:vAlign w:val="center"/>
            <w:hideMark/>
          </w:tcPr>
          <w:p w14:paraId="37F9659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Valori estimate</w:t>
            </w:r>
          </w:p>
          <w:p w14:paraId="75BC260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4E0BCD42"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35CE3A6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43A3BB64"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7B58BEB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16999F6B"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1E85880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03C0BC02"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13F93A13"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p w14:paraId="5D2D8998" w14:textId="5B3597DC"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w:t>
            </w:r>
          </w:p>
        </w:tc>
        <w:tc>
          <w:tcPr>
            <w:tcW w:w="736" w:type="dxa"/>
            <w:tcBorders>
              <w:top w:val="nil"/>
              <w:left w:val="nil"/>
              <w:bottom w:val="single" w:sz="8" w:space="0" w:color="auto"/>
              <w:right w:val="single" w:sz="8" w:space="0" w:color="auto"/>
            </w:tcBorders>
            <w:shd w:val="clear" w:color="auto" w:fill="auto"/>
            <w:vAlign w:val="center"/>
            <w:hideMark/>
          </w:tcPr>
          <w:p w14:paraId="370461D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2025</w:t>
            </w:r>
          </w:p>
        </w:tc>
        <w:tc>
          <w:tcPr>
            <w:tcW w:w="957" w:type="dxa"/>
            <w:tcBorders>
              <w:top w:val="nil"/>
              <w:left w:val="nil"/>
              <w:bottom w:val="single" w:sz="8" w:space="0" w:color="auto"/>
              <w:right w:val="single" w:sz="8" w:space="0" w:color="auto"/>
            </w:tcBorders>
            <w:shd w:val="clear" w:color="auto" w:fill="auto"/>
            <w:vAlign w:val="center"/>
            <w:hideMark/>
          </w:tcPr>
          <w:p w14:paraId="3E2B265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10868 lei</w:t>
            </w:r>
          </w:p>
        </w:tc>
        <w:tc>
          <w:tcPr>
            <w:tcW w:w="957" w:type="dxa"/>
            <w:tcBorders>
              <w:top w:val="nil"/>
              <w:left w:val="nil"/>
              <w:bottom w:val="single" w:sz="8" w:space="0" w:color="auto"/>
              <w:right w:val="single" w:sz="8" w:space="0" w:color="auto"/>
            </w:tcBorders>
            <w:shd w:val="clear" w:color="auto" w:fill="auto"/>
            <w:vAlign w:val="center"/>
            <w:hideMark/>
          </w:tcPr>
          <w:p w14:paraId="186B97C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3,4%</w:t>
            </w:r>
          </w:p>
        </w:tc>
        <w:tc>
          <w:tcPr>
            <w:tcW w:w="956" w:type="dxa"/>
            <w:tcBorders>
              <w:top w:val="nil"/>
              <w:left w:val="nil"/>
              <w:bottom w:val="single" w:sz="8" w:space="0" w:color="auto"/>
              <w:right w:val="single" w:sz="8" w:space="0" w:color="auto"/>
            </w:tcBorders>
            <w:shd w:val="clear" w:color="auto" w:fill="auto"/>
            <w:vAlign w:val="center"/>
            <w:hideMark/>
          </w:tcPr>
          <w:p w14:paraId="72AA668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4050 lei</w:t>
            </w:r>
          </w:p>
        </w:tc>
        <w:tc>
          <w:tcPr>
            <w:tcW w:w="956" w:type="dxa"/>
            <w:tcBorders>
              <w:top w:val="nil"/>
              <w:left w:val="nil"/>
              <w:bottom w:val="single" w:sz="8" w:space="0" w:color="auto"/>
              <w:right w:val="single" w:sz="8" w:space="0" w:color="auto"/>
            </w:tcBorders>
            <w:shd w:val="clear" w:color="auto" w:fill="auto"/>
            <w:vAlign w:val="center"/>
            <w:hideMark/>
          </w:tcPr>
          <w:p w14:paraId="0E2C8D4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2547 lei</w:t>
            </w:r>
          </w:p>
        </w:tc>
        <w:tc>
          <w:tcPr>
            <w:tcW w:w="958" w:type="dxa"/>
            <w:tcBorders>
              <w:top w:val="nil"/>
              <w:left w:val="nil"/>
              <w:bottom w:val="single" w:sz="8" w:space="0" w:color="auto"/>
              <w:right w:val="single" w:sz="8" w:space="0" w:color="auto"/>
            </w:tcBorders>
            <w:shd w:val="clear" w:color="auto" w:fill="auto"/>
            <w:vAlign w:val="center"/>
            <w:hideMark/>
          </w:tcPr>
          <w:p w14:paraId="5E34D234"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10,1%</w:t>
            </w:r>
          </w:p>
        </w:tc>
        <w:tc>
          <w:tcPr>
            <w:tcW w:w="957" w:type="dxa"/>
            <w:tcBorders>
              <w:top w:val="nil"/>
              <w:left w:val="nil"/>
              <w:bottom w:val="single" w:sz="8" w:space="0" w:color="auto"/>
              <w:right w:val="single" w:sz="8" w:space="0" w:color="auto"/>
            </w:tcBorders>
            <w:shd w:val="clear" w:color="auto" w:fill="auto"/>
            <w:vAlign w:val="center"/>
            <w:hideMark/>
          </w:tcPr>
          <w:p w14:paraId="2B7106EF"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304 lei</w:t>
            </w:r>
          </w:p>
        </w:tc>
        <w:tc>
          <w:tcPr>
            <w:tcW w:w="956" w:type="dxa"/>
            <w:tcBorders>
              <w:top w:val="nil"/>
              <w:left w:val="nil"/>
              <w:bottom w:val="single" w:sz="8" w:space="0" w:color="auto"/>
              <w:right w:val="single" w:sz="8" w:space="0" w:color="auto"/>
            </w:tcBorders>
            <w:shd w:val="clear" w:color="auto" w:fill="auto"/>
            <w:vAlign w:val="center"/>
            <w:hideMark/>
          </w:tcPr>
          <w:p w14:paraId="2A23C3D6"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49,6%</w:t>
            </w:r>
          </w:p>
        </w:tc>
      </w:tr>
      <w:tr w:rsidR="00000098" w:rsidRPr="00000098" w14:paraId="004F81F9"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1B4E2EC0" w14:textId="59FF735C"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21642E8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2026</w:t>
            </w:r>
          </w:p>
        </w:tc>
        <w:tc>
          <w:tcPr>
            <w:tcW w:w="957" w:type="dxa"/>
            <w:tcBorders>
              <w:top w:val="nil"/>
              <w:left w:val="nil"/>
              <w:bottom w:val="single" w:sz="8" w:space="0" w:color="auto"/>
              <w:right w:val="single" w:sz="8" w:space="0" w:color="auto"/>
            </w:tcBorders>
            <w:shd w:val="clear" w:color="auto" w:fill="auto"/>
            <w:vAlign w:val="center"/>
            <w:hideMark/>
          </w:tcPr>
          <w:p w14:paraId="1B5AB6E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11238 lei</w:t>
            </w:r>
          </w:p>
        </w:tc>
        <w:tc>
          <w:tcPr>
            <w:tcW w:w="957" w:type="dxa"/>
            <w:tcBorders>
              <w:top w:val="nil"/>
              <w:left w:val="nil"/>
              <w:bottom w:val="single" w:sz="8" w:space="0" w:color="auto"/>
              <w:right w:val="single" w:sz="8" w:space="0" w:color="auto"/>
            </w:tcBorders>
            <w:shd w:val="clear" w:color="auto" w:fill="auto"/>
            <w:vAlign w:val="center"/>
            <w:hideMark/>
          </w:tcPr>
          <w:p w14:paraId="0227BA6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w:t>
            </w:r>
          </w:p>
        </w:tc>
        <w:tc>
          <w:tcPr>
            <w:tcW w:w="956" w:type="dxa"/>
            <w:tcBorders>
              <w:top w:val="nil"/>
              <w:left w:val="nil"/>
              <w:bottom w:val="single" w:sz="8" w:space="0" w:color="auto"/>
              <w:right w:val="single" w:sz="8" w:space="0" w:color="auto"/>
            </w:tcBorders>
            <w:shd w:val="clear" w:color="auto" w:fill="auto"/>
            <w:vAlign w:val="center"/>
            <w:hideMark/>
          </w:tcPr>
          <w:p w14:paraId="4926A5E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4459 lei</w:t>
            </w:r>
          </w:p>
        </w:tc>
        <w:tc>
          <w:tcPr>
            <w:tcW w:w="956" w:type="dxa"/>
            <w:tcBorders>
              <w:top w:val="nil"/>
              <w:left w:val="nil"/>
              <w:bottom w:val="single" w:sz="8" w:space="0" w:color="auto"/>
              <w:right w:val="single" w:sz="8" w:space="0" w:color="auto"/>
            </w:tcBorders>
            <w:shd w:val="clear" w:color="auto" w:fill="auto"/>
            <w:vAlign w:val="center"/>
            <w:hideMark/>
          </w:tcPr>
          <w:p w14:paraId="6AB7A0B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2804 lei</w:t>
            </w:r>
          </w:p>
        </w:tc>
        <w:tc>
          <w:tcPr>
            <w:tcW w:w="958" w:type="dxa"/>
            <w:tcBorders>
              <w:top w:val="nil"/>
              <w:left w:val="nil"/>
              <w:bottom w:val="single" w:sz="8" w:space="0" w:color="auto"/>
              <w:right w:val="single" w:sz="8" w:space="0" w:color="auto"/>
            </w:tcBorders>
            <w:shd w:val="clear" w:color="auto" w:fill="auto"/>
            <w:vAlign w:val="center"/>
            <w:hideMark/>
          </w:tcPr>
          <w:p w14:paraId="219E028C"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10,1%</w:t>
            </w:r>
          </w:p>
        </w:tc>
        <w:tc>
          <w:tcPr>
            <w:tcW w:w="957" w:type="dxa"/>
            <w:tcBorders>
              <w:top w:val="nil"/>
              <w:left w:val="nil"/>
              <w:bottom w:val="single" w:sz="8" w:space="0" w:color="auto"/>
              <w:right w:val="single" w:sz="8" w:space="0" w:color="auto"/>
            </w:tcBorders>
            <w:shd w:val="clear" w:color="auto" w:fill="auto"/>
            <w:vAlign w:val="center"/>
            <w:hideMark/>
          </w:tcPr>
          <w:p w14:paraId="45D47BD1"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314 lei</w:t>
            </w:r>
          </w:p>
        </w:tc>
        <w:tc>
          <w:tcPr>
            <w:tcW w:w="956" w:type="dxa"/>
            <w:tcBorders>
              <w:top w:val="nil"/>
              <w:left w:val="nil"/>
              <w:bottom w:val="single" w:sz="8" w:space="0" w:color="auto"/>
              <w:right w:val="single" w:sz="8" w:space="0" w:color="auto"/>
            </w:tcBorders>
            <w:shd w:val="clear" w:color="auto" w:fill="auto"/>
            <w:vAlign w:val="center"/>
            <w:hideMark/>
          </w:tcPr>
          <w:p w14:paraId="039EDB4B"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52,9%</w:t>
            </w:r>
          </w:p>
        </w:tc>
      </w:tr>
      <w:tr w:rsidR="00000098" w:rsidRPr="00000098" w14:paraId="6D741A31"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0539EA01" w14:textId="42D540F9"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19D2D2D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2027</w:t>
            </w:r>
          </w:p>
        </w:tc>
        <w:tc>
          <w:tcPr>
            <w:tcW w:w="957" w:type="dxa"/>
            <w:tcBorders>
              <w:top w:val="nil"/>
              <w:left w:val="nil"/>
              <w:bottom w:val="single" w:sz="8" w:space="0" w:color="auto"/>
              <w:right w:val="single" w:sz="8" w:space="0" w:color="auto"/>
            </w:tcBorders>
            <w:shd w:val="clear" w:color="auto" w:fill="auto"/>
            <w:vAlign w:val="center"/>
            <w:hideMark/>
          </w:tcPr>
          <w:p w14:paraId="47EFB6AB"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11575 lei</w:t>
            </w:r>
          </w:p>
        </w:tc>
        <w:tc>
          <w:tcPr>
            <w:tcW w:w="957" w:type="dxa"/>
            <w:tcBorders>
              <w:top w:val="nil"/>
              <w:left w:val="nil"/>
              <w:bottom w:val="single" w:sz="8" w:space="0" w:color="auto"/>
              <w:right w:val="single" w:sz="8" w:space="0" w:color="auto"/>
            </w:tcBorders>
            <w:shd w:val="clear" w:color="auto" w:fill="auto"/>
            <w:vAlign w:val="center"/>
            <w:hideMark/>
          </w:tcPr>
          <w:p w14:paraId="523F9DF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w:t>
            </w:r>
          </w:p>
        </w:tc>
        <w:tc>
          <w:tcPr>
            <w:tcW w:w="956" w:type="dxa"/>
            <w:tcBorders>
              <w:top w:val="nil"/>
              <w:left w:val="nil"/>
              <w:bottom w:val="single" w:sz="8" w:space="0" w:color="auto"/>
              <w:right w:val="single" w:sz="8" w:space="0" w:color="auto"/>
            </w:tcBorders>
            <w:shd w:val="clear" w:color="auto" w:fill="auto"/>
            <w:vAlign w:val="center"/>
            <w:hideMark/>
          </w:tcPr>
          <w:p w14:paraId="6D9CEF9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4909 lei</w:t>
            </w:r>
          </w:p>
        </w:tc>
        <w:tc>
          <w:tcPr>
            <w:tcW w:w="956" w:type="dxa"/>
            <w:tcBorders>
              <w:top w:val="nil"/>
              <w:left w:val="nil"/>
              <w:bottom w:val="single" w:sz="8" w:space="0" w:color="auto"/>
              <w:right w:val="single" w:sz="8" w:space="0" w:color="auto"/>
            </w:tcBorders>
            <w:shd w:val="clear" w:color="auto" w:fill="auto"/>
            <w:vAlign w:val="center"/>
            <w:hideMark/>
          </w:tcPr>
          <w:p w14:paraId="38A0574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3087 lei</w:t>
            </w:r>
          </w:p>
        </w:tc>
        <w:tc>
          <w:tcPr>
            <w:tcW w:w="958" w:type="dxa"/>
            <w:tcBorders>
              <w:top w:val="nil"/>
              <w:left w:val="nil"/>
              <w:bottom w:val="single" w:sz="8" w:space="0" w:color="auto"/>
              <w:right w:val="single" w:sz="8" w:space="0" w:color="auto"/>
            </w:tcBorders>
            <w:shd w:val="clear" w:color="auto" w:fill="auto"/>
            <w:vAlign w:val="center"/>
            <w:hideMark/>
          </w:tcPr>
          <w:p w14:paraId="7A4166DB"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10,1%</w:t>
            </w:r>
          </w:p>
        </w:tc>
        <w:tc>
          <w:tcPr>
            <w:tcW w:w="957" w:type="dxa"/>
            <w:tcBorders>
              <w:top w:val="nil"/>
              <w:left w:val="nil"/>
              <w:bottom w:val="single" w:sz="8" w:space="0" w:color="auto"/>
              <w:right w:val="single" w:sz="8" w:space="0" w:color="auto"/>
            </w:tcBorders>
            <w:shd w:val="clear" w:color="auto" w:fill="auto"/>
            <w:vAlign w:val="center"/>
            <w:hideMark/>
          </w:tcPr>
          <w:p w14:paraId="3A13C982"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323 lei</w:t>
            </w:r>
          </w:p>
        </w:tc>
        <w:tc>
          <w:tcPr>
            <w:tcW w:w="956" w:type="dxa"/>
            <w:tcBorders>
              <w:top w:val="nil"/>
              <w:left w:val="nil"/>
              <w:bottom w:val="single" w:sz="8" w:space="0" w:color="auto"/>
              <w:right w:val="single" w:sz="8" w:space="0" w:color="auto"/>
            </w:tcBorders>
            <w:shd w:val="clear" w:color="auto" w:fill="auto"/>
            <w:vAlign w:val="center"/>
            <w:hideMark/>
          </w:tcPr>
          <w:p w14:paraId="24265413"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56,5%</w:t>
            </w:r>
          </w:p>
        </w:tc>
      </w:tr>
      <w:tr w:rsidR="00000098" w:rsidRPr="00000098" w14:paraId="586CCDAB"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1A1DB9F9" w14:textId="758DD09D"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017435C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2028</w:t>
            </w:r>
          </w:p>
        </w:tc>
        <w:tc>
          <w:tcPr>
            <w:tcW w:w="957" w:type="dxa"/>
            <w:tcBorders>
              <w:top w:val="nil"/>
              <w:left w:val="nil"/>
              <w:bottom w:val="single" w:sz="8" w:space="0" w:color="auto"/>
              <w:right w:val="single" w:sz="8" w:space="0" w:color="auto"/>
            </w:tcBorders>
            <w:shd w:val="clear" w:color="auto" w:fill="auto"/>
            <w:vAlign w:val="center"/>
            <w:hideMark/>
          </w:tcPr>
          <w:p w14:paraId="62403FE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11864 lei</w:t>
            </w:r>
          </w:p>
        </w:tc>
        <w:tc>
          <w:tcPr>
            <w:tcW w:w="957" w:type="dxa"/>
            <w:tcBorders>
              <w:top w:val="nil"/>
              <w:left w:val="nil"/>
              <w:bottom w:val="single" w:sz="8" w:space="0" w:color="auto"/>
              <w:right w:val="single" w:sz="8" w:space="0" w:color="auto"/>
            </w:tcBorders>
            <w:shd w:val="clear" w:color="auto" w:fill="auto"/>
            <w:vAlign w:val="center"/>
            <w:hideMark/>
          </w:tcPr>
          <w:p w14:paraId="55E1541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w:t>
            </w:r>
          </w:p>
        </w:tc>
        <w:tc>
          <w:tcPr>
            <w:tcW w:w="956" w:type="dxa"/>
            <w:tcBorders>
              <w:top w:val="nil"/>
              <w:left w:val="nil"/>
              <w:bottom w:val="single" w:sz="8" w:space="0" w:color="auto"/>
              <w:right w:val="single" w:sz="8" w:space="0" w:color="auto"/>
            </w:tcBorders>
            <w:shd w:val="clear" w:color="auto" w:fill="auto"/>
            <w:vAlign w:val="center"/>
            <w:hideMark/>
          </w:tcPr>
          <w:p w14:paraId="4064F33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5405 lei</w:t>
            </w:r>
          </w:p>
        </w:tc>
        <w:tc>
          <w:tcPr>
            <w:tcW w:w="956" w:type="dxa"/>
            <w:tcBorders>
              <w:top w:val="nil"/>
              <w:left w:val="nil"/>
              <w:bottom w:val="single" w:sz="8" w:space="0" w:color="auto"/>
              <w:right w:val="single" w:sz="8" w:space="0" w:color="auto"/>
            </w:tcBorders>
            <w:shd w:val="clear" w:color="auto" w:fill="auto"/>
            <w:vAlign w:val="center"/>
            <w:hideMark/>
          </w:tcPr>
          <w:p w14:paraId="7BD3698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3399 lei</w:t>
            </w:r>
          </w:p>
        </w:tc>
        <w:tc>
          <w:tcPr>
            <w:tcW w:w="958" w:type="dxa"/>
            <w:tcBorders>
              <w:top w:val="nil"/>
              <w:left w:val="nil"/>
              <w:bottom w:val="single" w:sz="8" w:space="0" w:color="auto"/>
              <w:right w:val="single" w:sz="8" w:space="0" w:color="auto"/>
            </w:tcBorders>
            <w:shd w:val="clear" w:color="auto" w:fill="auto"/>
            <w:vAlign w:val="center"/>
            <w:hideMark/>
          </w:tcPr>
          <w:p w14:paraId="78847D7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10,1%</w:t>
            </w:r>
          </w:p>
        </w:tc>
        <w:tc>
          <w:tcPr>
            <w:tcW w:w="957" w:type="dxa"/>
            <w:tcBorders>
              <w:top w:val="nil"/>
              <w:left w:val="nil"/>
              <w:bottom w:val="single" w:sz="8" w:space="0" w:color="auto"/>
              <w:right w:val="single" w:sz="8" w:space="0" w:color="auto"/>
            </w:tcBorders>
            <w:shd w:val="clear" w:color="auto" w:fill="auto"/>
            <w:vAlign w:val="center"/>
            <w:hideMark/>
          </w:tcPr>
          <w:p w14:paraId="0DCE3033"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332 lei</w:t>
            </w:r>
          </w:p>
        </w:tc>
        <w:tc>
          <w:tcPr>
            <w:tcW w:w="956" w:type="dxa"/>
            <w:tcBorders>
              <w:top w:val="nil"/>
              <w:left w:val="nil"/>
              <w:bottom w:val="single" w:sz="8" w:space="0" w:color="auto"/>
              <w:right w:val="single" w:sz="8" w:space="0" w:color="auto"/>
            </w:tcBorders>
            <w:shd w:val="clear" w:color="auto" w:fill="auto"/>
            <w:vAlign w:val="center"/>
            <w:hideMark/>
          </w:tcPr>
          <w:p w14:paraId="3A1BD2A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60,7%</w:t>
            </w:r>
          </w:p>
        </w:tc>
      </w:tr>
      <w:tr w:rsidR="00000098" w:rsidRPr="00000098" w14:paraId="20B5C371"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611B0F22" w14:textId="5B009AEC"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6620686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2029</w:t>
            </w:r>
          </w:p>
        </w:tc>
        <w:tc>
          <w:tcPr>
            <w:tcW w:w="957" w:type="dxa"/>
            <w:tcBorders>
              <w:top w:val="nil"/>
              <w:left w:val="nil"/>
              <w:bottom w:val="single" w:sz="8" w:space="0" w:color="auto"/>
              <w:right w:val="single" w:sz="8" w:space="0" w:color="auto"/>
            </w:tcBorders>
            <w:shd w:val="clear" w:color="auto" w:fill="auto"/>
            <w:vAlign w:val="center"/>
            <w:hideMark/>
          </w:tcPr>
          <w:p w14:paraId="045274E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12161 lei</w:t>
            </w:r>
          </w:p>
        </w:tc>
        <w:tc>
          <w:tcPr>
            <w:tcW w:w="957" w:type="dxa"/>
            <w:tcBorders>
              <w:top w:val="nil"/>
              <w:left w:val="nil"/>
              <w:bottom w:val="single" w:sz="8" w:space="0" w:color="auto"/>
              <w:right w:val="single" w:sz="8" w:space="0" w:color="auto"/>
            </w:tcBorders>
            <w:shd w:val="clear" w:color="auto" w:fill="auto"/>
            <w:vAlign w:val="center"/>
            <w:hideMark/>
          </w:tcPr>
          <w:p w14:paraId="6A5BF6A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w:t>
            </w:r>
          </w:p>
        </w:tc>
        <w:tc>
          <w:tcPr>
            <w:tcW w:w="956" w:type="dxa"/>
            <w:tcBorders>
              <w:top w:val="nil"/>
              <w:left w:val="nil"/>
              <w:bottom w:val="single" w:sz="8" w:space="0" w:color="auto"/>
              <w:right w:val="single" w:sz="8" w:space="0" w:color="auto"/>
            </w:tcBorders>
            <w:shd w:val="clear" w:color="auto" w:fill="auto"/>
            <w:vAlign w:val="center"/>
            <w:hideMark/>
          </w:tcPr>
          <w:p w14:paraId="6511F646"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5951 lei</w:t>
            </w:r>
          </w:p>
        </w:tc>
        <w:tc>
          <w:tcPr>
            <w:tcW w:w="956" w:type="dxa"/>
            <w:tcBorders>
              <w:top w:val="nil"/>
              <w:left w:val="nil"/>
              <w:bottom w:val="single" w:sz="8" w:space="0" w:color="auto"/>
              <w:right w:val="single" w:sz="8" w:space="0" w:color="auto"/>
            </w:tcBorders>
            <w:shd w:val="clear" w:color="auto" w:fill="auto"/>
            <w:vAlign w:val="center"/>
            <w:hideMark/>
          </w:tcPr>
          <w:p w14:paraId="7D21CF91"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3743 lei</w:t>
            </w:r>
          </w:p>
        </w:tc>
        <w:tc>
          <w:tcPr>
            <w:tcW w:w="958" w:type="dxa"/>
            <w:tcBorders>
              <w:top w:val="nil"/>
              <w:left w:val="nil"/>
              <w:bottom w:val="single" w:sz="8" w:space="0" w:color="auto"/>
              <w:right w:val="single" w:sz="8" w:space="0" w:color="auto"/>
            </w:tcBorders>
            <w:shd w:val="clear" w:color="auto" w:fill="auto"/>
            <w:vAlign w:val="center"/>
            <w:hideMark/>
          </w:tcPr>
          <w:p w14:paraId="1524DC5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10,1%</w:t>
            </w:r>
          </w:p>
        </w:tc>
        <w:tc>
          <w:tcPr>
            <w:tcW w:w="957" w:type="dxa"/>
            <w:tcBorders>
              <w:top w:val="nil"/>
              <w:left w:val="nil"/>
              <w:bottom w:val="single" w:sz="8" w:space="0" w:color="auto"/>
              <w:right w:val="single" w:sz="8" w:space="0" w:color="auto"/>
            </w:tcBorders>
            <w:shd w:val="clear" w:color="auto" w:fill="auto"/>
            <w:vAlign w:val="center"/>
            <w:hideMark/>
          </w:tcPr>
          <w:p w14:paraId="422600BF"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340 lei</w:t>
            </w:r>
          </w:p>
        </w:tc>
        <w:tc>
          <w:tcPr>
            <w:tcW w:w="956" w:type="dxa"/>
            <w:tcBorders>
              <w:top w:val="nil"/>
              <w:left w:val="nil"/>
              <w:bottom w:val="single" w:sz="8" w:space="0" w:color="auto"/>
              <w:right w:val="single" w:sz="8" w:space="0" w:color="auto"/>
            </w:tcBorders>
            <w:shd w:val="clear" w:color="auto" w:fill="auto"/>
            <w:vAlign w:val="center"/>
            <w:hideMark/>
          </w:tcPr>
          <w:p w14:paraId="46F784F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65,2%</w:t>
            </w:r>
          </w:p>
        </w:tc>
      </w:tr>
      <w:tr w:rsidR="00000098" w:rsidRPr="00000098" w14:paraId="3B3747DC"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78177E3E" w14:textId="41ACD1CD"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38531991"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2030</w:t>
            </w:r>
          </w:p>
        </w:tc>
        <w:tc>
          <w:tcPr>
            <w:tcW w:w="957" w:type="dxa"/>
            <w:tcBorders>
              <w:top w:val="nil"/>
              <w:left w:val="nil"/>
              <w:bottom w:val="single" w:sz="8" w:space="0" w:color="auto"/>
              <w:right w:val="single" w:sz="8" w:space="0" w:color="auto"/>
            </w:tcBorders>
            <w:shd w:val="clear" w:color="auto" w:fill="auto"/>
            <w:vAlign w:val="center"/>
            <w:hideMark/>
          </w:tcPr>
          <w:p w14:paraId="6708B20E"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12465 lei</w:t>
            </w:r>
          </w:p>
        </w:tc>
        <w:tc>
          <w:tcPr>
            <w:tcW w:w="957" w:type="dxa"/>
            <w:tcBorders>
              <w:top w:val="nil"/>
              <w:left w:val="nil"/>
              <w:bottom w:val="single" w:sz="8" w:space="0" w:color="auto"/>
              <w:right w:val="single" w:sz="8" w:space="0" w:color="auto"/>
            </w:tcBorders>
            <w:shd w:val="clear" w:color="auto" w:fill="auto"/>
            <w:vAlign w:val="center"/>
            <w:hideMark/>
          </w:tcPr>
          <w:p w14:paraId="53A3AFE2"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w:t>
            </w:r>
          </w:p>
        </w:tc>
        <w:tc>
          <w:tcPr>
            <w:tcW w:w="956" w:type="dxa"/>
            <w:tcBorders>
              <w:top w:val="nil"/>
              <w:left w:val="nil"/>
              <w:bottom w:val="single" w:sz="8" w:space="0" w:color="auto"/>
              <w:right w:val="single" w:sz="8" w:space="0" w:color="auto"/>
            </w:tcBorders>
            <w:shd w:val="clear" w:color="auto" w:fill="auto"/>
            <w:vAlign w:val="center"/>
            <w:hideMark/>
          </w:tcPr>
          <w:p w14:paraId="499F410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6552 lei</w:t>
            </w:r>
          </w:p>
        </w:tc>
        <w:tc>
          <w:tcPr>
            <w:tcW w:w="956" w:type="dxa"/>
            <w:tcBorders>
              <w:top w:val="nil"/>
              <w:left w:val="nil"/>
              <w:bottom w:val="single" w:sz="8" w:space="0" w:color="auto"/>
              <w:right w:val="single" w:sz="8" w:space="0" w:color="auto"/>
            </w:tcBorders>
            <w:shd w:val="clear" w:color="auto" w:fill="auto"/>
            <w:vAlign w:val="center"/>
            <w:hideMark/>
          </w:tcPr>
          <w:p w14:paraId="7D8F624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4121 lei</w:t>
            </w:r>
          </w:p>
        </w:tc>
        <w:tc>
          <w:tcPr>
            <w:tcW w:w="958" w:type="dxa"/>
            <w:tcBorders>
              <w:top w:val="nil"/>
              <w:left w:val="nil"/>
              <w:bottom w:val="single" w:sz="8" w:space="0" w:color="auto"/>
              <w:right w:val="single" w:sz="8" w:space="0" w:color="auto"/>
            </w:tcBorders>
            <w:shd w:val="clear" w:color="auto" w:fill="auto"/>
            <w:vAlign w:val="center"/>
            <w:hideMark/>
          </w:tcPr>
          <w:p w14:paraId="00BAB78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10,1%</w:t>
            </w:r>
          </w:p>
        </w:tc>
        <w:tc>
          <w:tcPr>
            <w:tcW w:w="957" w:type="dxa"/>
            <w:tcBorders>
              <w:top w:val="nil"/>
              <w:left w:val="nil"/>
              <w:bottom w:val="single" w:sz="8" w:space="0" w:color="auto"/>
              <w:right w:val="single" w:sz="8" w:space="0" w:color="auto"/>
            </w:tcBorders>
            <w:shd w:val="clear" w:color="auto" w:fill="auto"/>
            <w:vAlign w:val="center"/>
            <w:hideMark/>
          </w:tcPr>
          <w:p w14:paraId="161F9F9F"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348 lei</w:t>
            </w:r>
          </w:p>
        </w:tc>
        <w:tc>
          <w:tcPr>
            <w:tcW w:w="956" w:type="dxa"/>
            <w:tcBorders>
              <w:top w:val="nil"/>
              <w:left w:val="nil"/>
              <w:bottom w:val="single" w:sz="8" w:space="0" w:color="auto"/>
              <w:right w:val="single" w:sz="8" w:space="0" w:color="auto"/>
            </w:tcBorders>
            <w:shd w:val="clear" w:color="auto" w:fill="auto"/>
            <w:vAlign w:val="center"/>
            <w:hideMark/>
          </w:tcPr>
          <w:p w14:paraId="563B479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70%</w:t>
            </w:r>
          </w:p>
        </w:tc>
      </w:tr>
      <w:tr w:rsidR="00000098" w:rsidRPr="00000098" w14:paraId="35422BBE"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52CCA1C8" w14:textId="6156B0BF"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0F674DD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2031</w:t>
            </w:r>
          </w:p>
        </w:tc>
        <w:tc>
          <w:tcPr>
            <w:tcW w:w="957" w:type="dxa"/>
            <w:tcBorders>
              <w:top w:val="nil"/>
              <w:left w:val="nil"/>
              <w:bottom w:val="single" w:sz="8" w:space="0" w:color="auto"/>
              <w:right w:val="single" w:sz="8" w:space="0" w:color="auto"/>
            </w:tcBorders>
            <w:shd w:val="clear" w:color="auto" w:fill="auto"/>
            <w:vAlign w:val="center"/>
            <w:hideMark/>
          </w:tcPr>
          <w:p w14:paraId="09224FA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12776 lei</w:t>
            </w:r>
          </w:p>
        </w:tc>
        <w:tc>
          <w:tcPr>
            <w:tcW w:w="957" w:type="dxa"/>
            <w:tcBorders>
              <w:top w:val="nil"/>
              <w:left w:val="nil"/>
              <w:bottom w:val="single" w:sz="8" w:space="0" w:color="auto"/>
              <w:right w:val="single" w:sz="8" w:space="0" w:color="auto"/>
            </w:tcBorders>
            <w:shd w:val="clear" w:color="auto" w:fill="auto"/>
            <w:vAlign w:val="center"/>
            <w:hideMark/>
          </w:tcPr>
          <w:p w14:paraId="0456A100"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w:t>
            </w:r>
          </w:p>
        </w:tc>
        <w:tc>
          <w:tcPr>
            <w:tcW w:w="956" w:type="dxa"/>
            <w:tcBorders>
              <w:top w:val="nil"/>
              <w:left w:val="nil"/>
              <w:bottom w:val="single" w:sz="8" w:space="0" w:color="auto"/>
              <w:right w:val="single" w:sz="8" w:space="0" w:color="auto"/>
            </w:tcBorders>
            <w:shd w:val="clear" w:color="auto" w:fill="auto"/>
            <w:vAlign w:val="center"/>
            <w:hideMark/>
          </w:tcPr>
          <w:p w14:paraId="0A6B1CA0"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7217 lei</w:t>
            </w:r>
          </w:p>
        </w:tc>
        <w:tc>
          <w:tcPr>
            <w:tcW w:w="956" w:type="dxa"/>
            <w:tcBorders>
              <w:top w:val="nil"/>
              <w:left w:val="nil"/>
              <w:bottom w:val="single" w:sz="8" w:space="0" w:color="auto"/>
              <w:right w:val="single" w:sz="8" w:space="0" w:color="auto"/>
            </w:tcBorders>
            <w:shd w:val="clear" w:color="auto" w:fill="auto"/>
            <w:vAlign w:val="center"/>
            <w:hideMark/>
          </w:tcPr>
          <w:p w14:paraId="4A35CC43"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4537 lei</w:t>
            </w:r>
          </w:p>
        </w:tc>
        <w:tc>
          <w:tcPr>
            <w:tcW w:w="958" w:type="dxa"/>
            <w:tcBorders>
              <w:top w:val="nil"/>
              <w:left w:val="nil"/>
              <w:bottom w:val="single" w:sz="8" w:space="0" w:color="auto"/>
              <w:right w:val="single" w:sz="8" w:space="0" w:color="auto"/>
            </w:tcBorders>
            <w:shd w:val="clear" w:color="auto" w:fill="auto"/>
            <w:vAlign w:val="center"/>
            <w:hideMark/>
          </w:tcPr>
          <w:p w14:paraId="0CEA11A4"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10,1%</w:t>
            </w:r>
          </w:p>
        </w:tc>
        <w:tc>
          <w:tcPr>
            <w:tcW w:w="957" w:type="dxa"/>
            <w:tcBorders>
              <w:top w:val="nil"/>
              <w:left w:val="nil"/>
              <w:bottom w:val="single" w:sz="8" w:space="0" w:color="auto"/>
              <w:right w:val="single" w:sz="8" w:space="0" w:color="auto"/>
            </w:tcBorders>
            <w:shd w:val="clear" w:color="auto" w:fill="auto"/>
            <w:vAlign w:val="center"/>
            <w:hideMark/>
          </w:tcPr>
          <w:p w14:paraId="0AB37841"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357 lei</w:t>
            </w:r>
          </w:p>
        </w:tc>
        <w:tc>
          <w:tcPr>
            <w:tcW w:w="956" w:type="dxa"/>
            <w:tcBorders>
              <w:top w:val="nil"/>
              <w:left w:val="nil"/>
              <w:bottom w:val="single" w:sz="8" w:space="0" w:color="auto"/>
              <w:right w:val="single" w:sz="8" w:space="0" w:color="auto"/>
            </w:tcBorders>
            <w:shd w:val="clear" w:color="auto" w:fill="auto"/>
            <w:vAlign w:val="center"/>
            <w:hideMark/>
          </w:tcPr>
          <w:p w14:paraId="2219078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75,2%</w:t>
            </w:r>
          </w:p>
        </w:tc>
      </w:tr>
      <w:tr w:rsidR="00000098" w:rsidRPr="00000098" w14:paraId="729530A9"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4694FB3A" w14:textId="341B15F8"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5C76CCC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2032</w:t>
            </w:r>
          </w:p>
        </w:tc>
        <w:tc>
          <w:tcPr>
            <w:tcW w:w="957" w:type="dxa"/>
            <w:tcBorders>
              <w:top w:val="nil"/>
              <w:left w:val="nil"/>
              <w:bottom w:val="single" w:sz="8" w:space="0" w:color="auto"/>
              <w:right w:val="single" w:sz="8" w:space="0" w:color="auto"/>
            </w:tcBorders>
            <w:shd w:val="clear" w:color="auto" w:fill="auto"/>
            <w:vAlign w:val="center"/>
            <w:hideMark/>
          </w:tcPr>
          <w:p w14:paraId="549B50BA"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13096 lei</w:t>
            </w:r>
          </w:p>
        </w:tc>
        <w:tc>
          <w:tcPr>
            <w:tcW w:w="957" w:type="dxa"/>
            <w:tcBorders>
              <w:top w:val="nil"/>
              <w:left w:val="nil"/>
              <w:bottom w:val="single" w:sz="8" w:space="0" w:color="auto"/>
              <w:right w:val="single" w:sz="8" w:space="0" w:color="auto"/>
            </w:tcBorders>
            <w:shd w:val="clear" w:color="auto" w:fill="auto"/>
            <w:vAlign w:val="center"/>
            <w:hideMark/>
          </w:tcPr>
          <w:p w14:paraId="6574C643"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w:t>
            </w:r>
          </w:p>
        </w:tc>
        <w:tc>
          <w:tcPr>
            <w:tcW w:w="956" w:type="dxa"/>
            <w:tcBorders>
              <w:top w:val="nil"/>
              <w:left w:val="nil"/>
              <w:bottom w:val="single" w:sz="8" w:space="0" w:color="auto"/>
              <w:right w:val="single" w:sz="8" w:space="0" w:color="auto"/>
            </w:tcBorders>
            <w:shd w:val="clear" w:color="auto" w:fill="auto"/>
            <w:vAlign w:val="center"/>
            <w:hideMark/>
          </w:tcPr>
          <w:p w14:paraId="4BE6D83F"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7943 lei</w:t>
            </w:r>
          </w:p>
        </w:tc>
        <w:tc>
          <w:tcPr>
            <w:tcW w:w="956" w:type="dxa"/>
            <w:tcBorders>
              <w:top w:val="nil"/>
              <w:left w:val="nil"/>
              <w:bottom w:val="single" w:sz="8" w:space="0" w:color="auto"/>
              <w:right w:val="single" w:sz="8" w:space="0" w:color="auto"/>
            </w:tcBorders>
            <w:shd w:val="clear" w:color="auto" w:fill="auto"/>
            <w:vAlign w:val="center"/>
            <w:hideMark/>
          </w:tcPr>
          <w:p w14:paraId="7202D5E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4995 lei</w:t>
            </w:r>
          </w:p>
        </w:tc>
        <w:tc>
          <w:tcPr>
            <w:tcW w:w="958" w:type="dxa"/>
            <w:tcBorders>
              <w:top w:val="nil"/>
              <w:left w:val="nil"/>
              <w:bottom w:val="single" w:sz="8" w:space="0" w:color="auto"/>
              <w:right w:val="single" w:sz="8" w:space="0" w:color="auto"/>
            </w:tcBorders>
            <w:shd w:val="clear" w:color="auto" w:fill="auto"/>
            <w:vAlign w:val="center"/>
            <w:hideMark/>
          </w:tcPr>
          <w:p w14:paraId="71D50A22"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10,1%</w:t>
            </w:r>
          </w:p>
        </w:tc>
        <w:tc>
          <w:tcPr>
            <w:tcW w:w="957" w:type="dxa"/>
            <w:tcBorders>
              <w:top w:val="nil"/>
              <w:left w:val="nil"/>
              <w:bottom w:val="single" w:sz="8" w:space="0" w:color="auto"/>
              <w:right w:val="single" w:sz="8" w:space="0" w:color="auto"/>
            </w:tcBorders>
            <w:shd w:val="clear" w:color="auto" w:fill="auto"/>
            <w:vAlign w:val="center"/>
            <w:hideMark/>
          </w:tcPr>
          <w:p w14:paraId="14F2A713"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366 lei</w:t>
            </w:r>
          </w:p>
        </w:tc>
        <w:tc>
          <w:tcPr>
            <w:tcW w:w="956" w:type="dxa"/>
            <w:tcBorders>
              <w:top w:val="nil"/>
              <w:left w:val="nil"/>
              <w:bottom w:val="single" w:sz="8" w:space="0" w:color="auto"/>
              <w:right w:val="single" w:sz="8" w:space="0" w:color="auto"/>
            </w:tcBorders>
            <w:shd w:val="clear" w:color="auto" w:fill="auto"/>
            <w:vAlign w:val="center"/>
            <w:hideMark/>
          </w:tcPr>
          <w:p w14:paraId="3C004CF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80,8%</w:t>
            </w:r>
          </w:p>
        </w:tc>
      </w:tr>
      <w:tr w:rsidR="00000098" w:rsidRPr="00000098" w14:paraId="653B58B0"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6078C58B" w14:textId="6941506F"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143F52F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3033</w:t>
            </w:r>
          </w:p>
        </w:tc>
        <w:tc>
          <w:tcPr>
            <w:tcW w:w="957" w:type="dxa"/>
            <w:tcBorders>
              <w:top w:val="nil"/>
              <w:left w:val="nil"/>
              <w:bottom w:val="single" w:sz="8" w:space="0" w:color="auto"/>
              <w:right w:val="single" w:sz="8" w:space="0" w:color="auto"/>
            </w:tcBorders>
            <w:shd w:val="clear" w:color="auto" w:fill="auto"/>
            <w:vAlign w:val="center"/>
            <w:hideMark/>
          </w:tcPr>
          <w:p w14:paraId="5C5EB60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13423 lei</w:t>
            </w:r>
          </w:p>
        </w:tc>
        <w:tc>
          <w:tcPr>
            <w:tcW w:w="957" w:type="dxa"/>
            <w:tcBorders>
              <w:top w:val="nil"/>
              <w:left w:val="nil"/>
              <w:bottom w:val="single" w:sz="8" w:space="0" w:color="auto"/>
              <w:right w:val="single" w:sz="8" w:space="0" w:color="auto"/>
            </w:tcBorders>
            <w:shd w:val="clear" w:color="auto" w:fill="auto"/>
            <w:vAlign w:val="center"/>
            <w:hideMark/>
          </w:tcPr>
          <w:p w14:paraId="387A24C0"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w:t>
            </w:r>
          </w:p>
        </w:tc>
        <w:tc>
          <w:tcPr>
            <w:tcW w:w="956" w:type="dxa"/>
            <w:tcBorders>
              <w:top w:val="nil"/>
              <w:left w:val="nil"/>
              <w:bottom w:val="single" w:sz="8" w:space="0" w:color="auto"/>
              <w:right w:val="single" w:sz="8" w:space="0" w:color="auto"/>
            </w:tcBorders>
            <w:shd w:val="clear" w:color="auto" w:fill="auto"/>
            <w:vAlign w:val="center"/>
            <w:hideMark/>
          </w:tcPr>
          <w:p w14:paraId="40E0BD68"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8745 lei</w:t>
            </w:r>
          </w:p>
        </w:tc>
        <w:tc>
          <w:tcPr>
            <w:tcW w:w="956" w:type="dxa"/>
            <w:tcBorders>
              <w:top w:val="nil"/>
              <w:left w:val="nil"/>
              <w:bottom w:val="single" w:sz="8" w:space="0" w:color="auto"/>
              <w:right w:val="single" w:sz="8" w:space="0" w:color="auto"/>
            </w:tcBorders>
            <w:shd w:val="clear" w:color="auto" w:fill="auto"/>
            <w:vAlign w:val="center"/>
            <w:hideMark/>
          </w:tcPr>
          <w:p w14:paraId="08CF089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5500 lei</w:t>
            </w:r>
          </w:p>
        </w:tc>
        <w:tc>
          <w:tcPr>
            <w:tcW w:w="958" w:type="dxa"/>
            <w:tcBorders>
              <w:top w:val="nil"/>
              <w:left w:val="nil"/>
              <w:bottom w:val="single" w:sz="8" w:space="0" w:color="auto"/>
              <w:right w:val="single" w:sz="8" w:space="0" w:color="auto"/>
            </w:tcBorders>
            <w:shd w:val="clear" w:color="auto" w:fill="auto"/>
            <w:vAlign w:val="center"/>
            <w:hideMark/>
          </w:tcPr>
          <w:p w14:paraId="0989391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10,1%</w:t>
            </w:r>
          </w:p>
        </w:tc>
        <w:tc>
          <w:tcPr>
            <w:tcW w:w="957" w:type="dxa"/>
            <w:tcBorders>
              <w:top w:val="nil"/>
              <w:left w:val="nil"/>
              <w:bottom w:val="single" w:sz="8" w:space="0" w:color="auto"/>
              <w:right w:val="single" w:sz="8" w:space="0" w:color="auto"/>
            </w:tcBorders>
            <w:shd w:val="clear" w:color="auto" w:fill="auto"/>
            <w:vAlign w:val="center"/>
            <w:hideMark/>
          </w:tcPr>
          <w:p w14:paraId="7060C01C"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375 lei</w:t>
            </w:r>
          </w:p>
        </w:tc>
        <w:tc>
          <w:tcPr>
            <w:tcW w:w="956" w:type="dxa"/>
            <w:tcBorders>
              <w:top w:val="nil"/>
              <w:left w:val="nil"/>
              <w:bottom w:val="single" w:sz="8" w:space="0" w:color="auto"/>
              <w:right w:val="single" w:sz="8" w:space="0" w:color="auto"/>
            </w:tcBorders>
            <w:shd w:val="clear" w:color="auto" w:fill="auto"/>
            <w:vAlign w:val="center"/>
            <w:hideMark/>
          </w:tcPr>
          <w:p w14:paraId="4AB6E350"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86,8%</w:t>
            </w:r>
          </w:p>
        </w:tc>
      </w:tr>
      <w:tr w:rsidR="00000098" w:rsidRPr="00000098" w14:paraId="1F3EE4AC" w14:textId="77777777" w:rsidTr="00000098">
        <w:trPr>
          <w:trHeight w:val="300"/>
          <w:jc w:val="center"/>
        </w:trPr>
        <w:tc>
          <w:tcPr>
            <w:tcW w:w="987" w:type="dxa"/>
            <w:vMerge/>
            <w:tcBorders>
              <w:left w:val="single" w:sz="8" w:space="0" w:color="auto"/>
              <w:right w:val="single" w:sz="8" w:space="0" w:color="auto"/>
            </w:tcBorders>
            <w:shd w:val="clear" w:color="auto" w:fill="auto"/>
            <w:vAlign w:val="center"/>
            <w:hideMark/>
          </w:tcPr>
          <w:p w14:paraId="30C655F8" w14:textId="68DC309F" w:rsidR="00000098" w:rsidRPr="00000098" w:rsidRDefault="00000098" w:rsidP="00000098">
            <w:pPr>
              <w:spacing w:line="240" w:lineRule="auto"/>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43DCD280"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3034</w:t>
            </w:r>
          </w:p>
        </w:tc>
        <w:tc>
          <w:tcPr>
            <w:tcW w:w="957" w:type="dxa"/>
            <w:tcBorders>
              <w:top w:val="nil"/>
              <w:left w:val="nil"/>
              <w:bottom w:val="single" w:sz="8" w:space="0" w:color="auto"/>
              <w:right w:val="single" w:sz="8" w:space="0" w:color="auto"/>
            </w:tcBorders>
            <w:shd w:val="clear" w:color="auto" w:fill="auto"/>
            <w:vAlign w:val="center"/>
            <w:hideMark/>
          </w:tcPr>
          <w:p w14:paraId="09845650"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13759 lei</w:t>
            </w:r>
          </w:p>
        </w:tc>
        <w:tc>
          <w:tcPr>
            <w:tcW w:w="957" w:type="dxa"/>
            <w:tcBorders>
              <w:top w:val="nil"/>
              <w:left w:val="nil"/>
              <w:bottom w:val="single" w:sz="8" w:space="0" w:color="auto"/>
              <w:right w:val="single" w:sz="8" w:space="0" w:color="auto"/>
            </w:tcBorders>
            <w:shd w:val="clear" w:color="auto" w:fill="auto"/>
            <w:vAlign w:val="center"/>
            <w:hideMark/>
          </w:tcPr>
          <w:p w14:paraId="34EFFE6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w:t>
            </w:r>
          </w:p>
        </w:tc>
        <w:tc>
          <w:tcPr>
            <w:tcW w:w="956" w:type="dxa"/>
            <w:tcBorders>
              <w:top w:val="nil"/>
              <w:left w:val="nil"/>
              <w:bottom w:val="single" w:sz="8" w:space="0" w:color="auto"/>
              <w:right w:val="single" w:sz="8" w:space="0" w:color="auto"/>
            </w:tcBorders>
            <w:shd w:val="clear" w:color="auto" w:fill="auto"/>
            <w:vAlign w:val="center"/>
            <w:hideMark/>
          </w:tcPr>
          <w:p w14:paraId="76005A62"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9628 lei</w:t>
            </w:r>
          </w:p>
        </w:tc>
        <w:tc>
          <w:tcPr>
            <w:tcW w:w="956" w:type="dxa"/>
            <w:tcBorders>
              <w:top w:val="nil"/>
              <w:left w:val="nil"/>
              <w:bottom w:val="single" w:sz="8" w:space="0" w:color="auto"/>
              <w:right w:val="single" w:sz="8" w:space="0" w:color="auto"/>
            </w:tcBorders>
            <w:shd w:val="clear" w:color="auto" w:fill="auto"/>
            <w:vAlign w:val="center"/>
            <w:hideMark/>
          </w:tcPr>
          <w:p w14:paraId="06986A0D"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6055 lei</w:t>
            </w:r>
          </w:p>
        </w:tc>
        <w:tc>
          <w:tcPr>
            <w:tcW w:w="958" w:type="dxa"/>
            <w:tcBorders>
              <w:top w:val="nil"/>
              <w:left w:val="nil"/>
              <w:bottom w:val="single" w:sz="8" w:space="0" w:color="auto"/>
              <w:right w:val="single" w:sz="8" w:space="0" w:color="auto"/>
            </w:tcBorders>
            <w:shd w:val="clear" w:color="auto" w:fill="auto"/>
            <w:vAlign w:val="center"/>
            <w:hideMark/>
          </w:tcPr>
          <w:p w14:paraId="20291F5C"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10,1%</w:t>
            </w:r>
          </w:p>
        </w:tc>
        <w:tc>
          <w:tcPr>
            <w:tcW w:w="957" w:type="dxa"/>
            <w:tcBorders>
              <w:top w:val="nil"/>
              <w:left w:val="nil"/>
              <w:bottom w:val="single" w:sz="8" w:space="0" w:color="auto"/>
              <w:right w:val="single" w:sz="8" w:space="0" w:color="auto"/>
            </w:tcBorders>
            <w:shd w:val="clear" w:color="auto" w:fill="auto"/>
            <w:vAlign w:val="center"/>
            <w:hideMark/>
          </w:tcPr>
          <w:p w14:paraId="64A4CD7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384 lei</w:t>
            </w:r>
          </w:p>
        </w:tc>
        <w:tc>
          <w:tcPr>
            <w:tcW w:w="956" w:type="dxa"/>
            <w:tcBorders>
              <w:top w:val="nil"/>
              <w:left w:val="nil"/>
              <w:bottom w:val="single" w:sz="8" w:space="0" w:color="auto"/>
              <w:right w:val="single" w:sz="8" w:space="0" w:color="auto"/>
            </w:tcBorders>
            <w:shd w:val="clear" w:color="auto" w:fill="auto"/>
            <w:vAlign w:val="center"/>
            <w:hideMark/>
          </w:tcPr>
          <w:p w14:paraId="216AF4D2"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93,2%</w:t>
            </w:r>
          </w:p>
        </w:tc>
      </w:tr>
      <w:tr w:rsidR="00000098" w:rsidRPr="00000098" w14:paraId="7DF38EF0" w14:textId="77777777" w:rsidTr="00000098">
        <w:trPr>
          <w:trHeight w:val="300"/>
          <w:jc w:val="center"/>
        </w:trPr>
        <w:tc>
          <w:tcPr>
            <w:tcW w:w="987" w:type="dxa"/>
            <w:vMerge/>
            <w:tcBorders>
              <w:left w:val="single" w:sz="8" w:space="0" w:color="auto"/>
              <w:bottom w:val="single" w:sz="8" w:space="0" w:color="auto"/>
              <w:right w:val="single" w:sz="8" w:space="0" w:color="auto"/>
            </w:tcBorders>
            <w:shd w:val="clear" w:color="auto" w:fill="auto"/>
            <w:vAlign w:val="center"/>
            <w:hideMark/>
          </w:tcPr>
          <w:p w14:paraId="4AD75FCB" w14:textId="47C3998E"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p>
        </w:tc>
        <w:tc>
          <w:tcPr>
            <w:tcW w:w="736" w:type="dxa"/>
            <w:tcBorders>
              <w:top w:val="nil"/>
              <w:left w:val="nil"/>
              <w:bottom w:val="single" w:sz="8" w:space="0" w:color="auto"/>
              <w:right w:val="single" w:sz="8" w:space="0" w:color="auto"/>
            </w:tcBorders>
            <w:shd w:val="clear" w:color="auto" w:fill="auto"/>
            <w:vAlign w:val="center"/>
            <w:hideMark/>
          </w:tcPr>
          <w:p w14:paraId="4382C942"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2035</w:t>
            </w:r>
          </w:p>
        </w:tc>
        <w:tc>
          <w:tcPr>
            <w:tcW w:w="957" w:type="dxa"/>
            <w:tcBorders>
              <w:top w:val="nil"/>
              <w:left w:val="nil"/>
              <w:bottom w:val="single" w:sz="8" w:space="0" w:color="auto"/>
              <w:right w:val="single" w:sz="8" w:space="0" w:color="auto"/>
            </w:tcBorders>
            <w:shd w:val="clear" w:color="auto" w:fill="auto"/>
            <w:vAlign w:val="center"/>
            <w:hideMark/>
          </w:tcPr>
          <w:p w14:paraId="0B6FD301"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 xml:space="preserve">14103 lei </w:t>
            </w:r>
          </w:p>
        </w:tc>
        <w:tc>
          <w:tcPr>
            <w:tcW w:w="957" w:type="dxa"/>
            <w:tcBorders>
              <w:top w:val="nil"/>
              <w:left w:val="nil"/>
              <w:bottom w:val="single" w:sz="8" w:space="0" w:color="auto"/>
              <w:right w:val="single" w:sz="8" w:space="0" w:color="auto"/>
            </w:tcBorders>
            <w:shd w:val="clear" w:color="auto" w:fill="auto"/>
            <w:vAlign w:val="center"/>
            <w:hideMark/>
          </w:tcPr>
          <w:p w14:paraId="5BFE81A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2,5%</w:t>
            </w:r>
          </w:p>
        </w:tc>
        <w:tc>
          <w:tcPr>
            <w:tcW w:w="956" w:type="dxa"/>
            <w:tcBorders>
              <w:top w:val="nil"/>
              <w:left w:val="nil"/>
              <w:bottom w:val="single" w:sz="8" w:space="0" w:color="auto"/>
              <w:right w:val="single" w:sz="8" w:space="0" w:color="auto"/>
            </w:tcBorders>
            <w:shd w:val="clear" w:color="auto" w:fill="auto"/>
            <w:vAlign w:val="center"/>
            <w:hideMark/>
          </w:tcPr>
          <w:p w14:paraId="4DC1285B"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10601 lei</w:t>
            </w:r>
          </w:p>
        </w:tc>
        <w:tc>
          <w:tcPr>
            <w:tcW w:w="956" w:type="dxa"/>
            <w:tcBorders>
              <w:top w:val="nil"/>
              <w:left w:val="nil"/>
              <w:bottom w:val="single" w:sz="8" w:space="0" w:color="auto"/>
              <w:right w:val="single" w:sz="8" w:space="0" w:color="auto"/>
            </w:tcBorders>
            <w:shd w:val="clear" w:color="auto" w:fill="auto"/>
            <w:vAlign w:val="center"/>
            <w:hideMark/>
          </w:tcPr>
          <w:p w14:paraId="0635FD7C"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6667 lei</w:t>
            </w:r>
          </w:p>
        </w:tc>
        <w:tc>
          <w:tcPr>
            <w:tcW w:w="958" w:type="dxa"/>
            <w:tcBorders>
              <w:top w:val="nil"/>
              <w:left w:val="nil"/>
              <w:bottom w:val="single" w:sz="8" w:space="0" w:color="auto"/>
              <w:right w:val="single" w:sz="8" w:space="0" w:color="auto"/>
            </w:tcBorders>
            <w:shd w:val="clear" w:color="auto" w:fill="auto"/>
            <w:vAlign w:val="center"/>
            <w:hideMark/>
          </w:tcPr>
          <w:p w14:paraId="604A2A07"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10,1%</w:t>
            </w:r>
          </w:p>
        </w:tc>
        <w:tc>
          <w:tcPr>
            <w:tcW w:w="957" w:type="dxa"/>
            <w:tcBorders>
              <w:top w:val="nil"/>
              <w:left w:val="nil"/>
              <w:bottom w:val="single" w:sz="8" w:space="0" w:color="auto"/>
              <w:right w:val="single" w:sz="8" w:space="0" w:color="auto"/>
            </w:tcBorders>
            <w:shd w:val="clear" w:color="auto" w:fill="auto"/>
            <w:vAlign w:val="center"/>
            <w:hideMark/>
          </w:tcPr>
          <w:p w14:paraId="183B4049"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394 lei</w:t>
            </w:r>
          </w:p>
        </w:tc>
        <w:tc>
          <w:tcPr>
            <w:tcW w:w="956" w:type="dxa"/>
            <w:tcBorders>
              <w:top w:val="nil"/>
              <w:left w:val="nil"/>
              <w:bottom w:val="single" w:sz="8" w:space="0" w:color="auto"/>
              <w:right w:val="single" w:sz="8" w:space="0" w:color="auto"/>
            </w:tcBorders>
            <w:shd w:val="clear" w:color="auto" w:fill="auto"/>
            <w:vAlign w:val="center"/>
            <w:hideMark/>
          </w:tcPr>
          <w:p w14:paraId="341E0005" w14:textId="77777777" w:rsidR="00000098" w:rsidRPr="00000098" w:rsidRDefault="00000098" w:rsidP="00000098">
            <w:pPr>
              <w:spacing w:line="240" w:lineRule="auto"/>
              <w:ind w:firstLine="0"/>
              <w:jc w:val="left"/>
              <w:rPr>
                <w:rFonts w:ascii="Times New Roman" w:eastAsia="Times New Roman" w:hAnsi="Times New Roman" w:cs="Times New Roman"/>
                <w:color w:val="000000"/>
                <w:sz w:val="20"/>
                <w:szCs w:val="20"/>
                <w:lang w:val="ro-RO" w:eastAsia="ro-RO"/>
              </w:rPr>
            </w:pPr>
            <w:r w:rsidRPr="00000098">
              <w:rPr>
                <w:rFonts w:ascii="Times New Roman" w:eastAsia="Times New Roman" w:hAnsi="Times New Roman" w:cs="Times New Roman"/>
                <w:color w:val="000000"/>
                <w:sz w:val="20"/>
                <w:szCs w:val="20"/>
                <w:lang w:val="ro-RO" w:eastAsia="ro-RO"/>
              </w:rPr>
              <w:t>100,1%</w:t>
            </w:r>
          </w:p>
        </w:tc>
      </w:tr>
    </w:tbl>
    <w:p w14:paraId="0050C3DE" w14:textId="12E9181C" w:rsidR="007A3745" w:rsidRPr="00F04DED" w:rsidRDefault="007A3745" w:rsidP="00F56834">
      <w:pPr>
        <w:ind w:firstLine="0"/>
        <w:rPr>
          <w:highlight w:val="yellow"/>
          <w:lang w:val="ro-RO"/>
        </w:rPr>
      </w:pPr>
    </w:p>
    <w:p w14:paraId="29AA13AA" w14:textId="77777777" w:rsidR="004E20B9" w:rsidRPr="00901D18" w:rsidRDefault="004E20B9" w:rsidP="007D07C5">
      <w:pPr>
        <w:pStyle w:val="Heading2"/>
        <w:rPr>
          <w:lang w:val="ro-RO"/>
        </w:rPr>
      </w:pPr>
      <w:r w:rsidRPr="00901D18">
        <w:rPr>
          <w:lang w:val="ro-RO"/>
        </w:rPr>
        <w:lastRenderedPageBreak/>
        <w:t>Concluzii</w:t>
      </w:r>
    </w:p>
    <w:p w14:paraId="2733AACF" w14:textId="77777777" w:rsidR="00022502" w:rsidRPr="00022502" w:rsidRDefault="00022502" w:rsidP="00022502">
      <w:pPr>
        <w:rPr>
          <w:noProof/>
          <w:lang w:val="ro-RO"/>
        </w:rPr>
      </w:pPr>
      <w:r w:rsidRPr="00022502">
        <w:rPr>
          <w:noProof/>
          <w:lang w:val="ro-RO"/>
        </w:rPr>
        <w:t>Studiul demonstrează că salariul minim din România nu asigură un trai decent, cu un grad de acoperire a coșului minim de consum de doar 47,9% în 2024, ceea ce înseamnă că lucrătorii cu salarii minime se confruntă cu dificultăți majore în acoperirea nevoilor de bază pentru hrană, locuință, îmbrăcăminte, sănătate, educație și transport. Analiza comparativă europeană relevă că România a pierdut teren în ultimii ani, trecând de la o politică agresivă de recuperare (2014-2019) la o abordare conservatoare (2019-2024) care a menținut țara pe penultimul loc în UE la nivelul salariului minim. Discrepanța persistentă între salariul minim și traiul decent duce la excluziune socială, necesitatea de muncă suplimentară sau migrarea forțată în alte țări pentru căutarea unor venituri mai bune. Pentru atingerea unui salariu minim decent până în 2035, este necesară o creștere medie anuală de 10,1%, semnificativ mai mare decât ratele actuale, ceea ce sugerează necesitatea unei reforme fundamentale a politicilor salariale românești.</w:t>
      </w:r>
    </w:p>
    <w:p w14:paraId="042C7C07" w14:textId="77777777" w:rsidR="00022502" w:rsidRPr="00022502" w:rsidRDefault="00022502" w:rsidP="00022502">
      <w:pPr>
        <w:rPr>
          <w:noProof/>
          <w:lang w:val="ro-RO"/>
        </w:rPr>
      </w:pPr>
      <w:r w:rsidRPr="00022502">
        <w:rPr>
          <w:noProof/>
          <w:lang w:val="ro-RO"/>
        </w:rPr>
        <w:t>Discuții</w:t>
      </w:r>
    </w:p>
    <w:p w14:paraId="399ECE31" w14:textId="77777777" w:rsidR="00022502" w:rsidRPr="00022502" w:rsidRDefault="00022502" w:rsidP="00022502">
      <w:pPr>
        <w:rPr>
          <w:noProof/>
          <w:lang w:val="ro-RO"/>
        </w:rPr>
      </w:pPr>
      <w:r w:rsidRPr="00022502">
        <w:rPr>
          <w:noProof/>
          <w:lang w:val="ro-RO"/>
        </w:rPr>
        <w:t>Rezultatele acestui studiu confirmă preocupările exprimate în literatura de specialitate privind inadecvarea salariilor minime în Europa de Est pentru asigurarea unui trai decent. Comparația cu Polonia, care a reușit să implementeze creșteri susținute fără efecte negative majore asupra economiei, sugerează că o politică mai agresivă ar fi fost posibilă și în România. Impactul majorării salariului minim este complex: pe de o parte, creșterea acestuia poate reduce sărăcia și inegalitățile, îmbunătăți motivația angajaților și stimula consumul, dar pe de alta, majorările bruște pot afecta negativ întreprinderile mici și mijlocii și pot contribui la creșteri de prețuri. O creștere planificată și predictibilă, precum cea simulată în acest studiu, ar putea evita șocurile economice și ar permite adaptarea treptată a pieței muncii. Necesitatea unei corelări a salariului minim cu coșul minim pentru un trai decent și cu media salarială națională este susținută de instituții europene și de Organizația Internațională a Muncii, confirmând relevanța abordării adoptate în această cercetare.</w:t>
      </w:r>
    </w:p>
    <w:p w14:paraId="1C5909BE" w14:textId="77777777" w:rsidR="00022502" w:rsidRPr="00022502" w:rsidRDefault="00022502" w:rsidP="00022502">
      <w:pPr>
        <w:rPr>
          <w:noProof/>
          <w:lang w:val="ro-RO"/>
        </w:rPr>
      </w:pPr>
      <w:r w:rsidRPr="00022502">
        <w:rPr>
          <w:noProof/>
          <w:lang w:val="ro-RO"/>
        </w:rPr>
        <w:t>Limitări</w:t>
      </w:r>
    </w:p>
    <w:p w14:paraId="2C986E4C" w14:textId="385325EF" w:rsidR="0077784E" w:rsidRPr="00901D18" w:rsidRDefault="00022502" w:rsidP="00000098">
      <w:pPr>
        <w:rPr>
          <w:noProof/>
          <w:lang w:val="ro-RO"/>
        </w:rPr>
      </w:pPr>
      <w:r w:rsidRPr="00022502">
        <w:rPr>
          <w:noProof/>
          <w:lang w:val="ro-RO"/>
        </w:rPr>
        <w:t>Studiul prezintă mai multe limitări metodologice care trebuie luate în considerare la interpretarea rezultatelor. Calculul coșului minim de consum pentru un trai decent se bazează pe estimări pentru o familie standard de doi adulți și doi copii, care poate să nu reflecte realitatea tuturor tipurilor de familii sau a persoanelor singure. Simularea convergentei către 2035 utilizează presupuneri privind evoluția inflației și creșterea economică care pot să nu se materializeze în realitate, iar rata de creștere propusă de 10,1% anual poate fi prea optimistă având în vedere constrângerile economice și politice. De asemenea, studiul nu analizează impactul potential al creșterii salariului minim asupra ratei șomajului, productivității muncii sau competitivității întreprinderilor românești pe piețele externe. Datele utilizate, deși provin din surse oficiale, pot avea erori de măsurare sau pot să nu capteze întreaga complexitate a pieței muncii informale din România. În plus, comparațiile internaționale nu țin cont complet de diferențele structurale între economiile naționale, sistemele fiscale și nivelurile de productivitate, ceea ce poate afecta validitatea unor concluzii privind pozicionarea relativă a României în contextul european.</w:t>
      </w:r>
    </w:p>
    <w:p w14:paraId="364AB4B2" w14:textId="77777777" w:rsidR="00022502" w:rsidRPr="00022502" w:rsidRDefault="00022502" w:rsidP="00022502">
      <w:pPr>
        <w:spacing w:before="100" w:beforeAutospacing="1" w:after="100" w:afterAutospacing="1" w:line="240" w:lineRule="auto"/>
        <w:ind w:firstLine="0"/>
        <w:jc w:val="left"/>
        <w:outlineLvl w:val="0"/>
        <w:rPr>
          <w:rFonts w:ascii="Times New Roman" w:eastAsia="Times New Roman" w:hAnsi="Times New Roman" w:cs="Times New Roman"/>
          <w:b/>
          <w:bCs/>
          <w:kern w:val="36"/>
          <w:sz w:val="48"/>
          <w:szCs w:val="48"/>
          <w:lang w:val="ro-RO" w:eastAsia="ro-RO"/>
        </w:rPr>
      </w:pPr>
      <w:r w:rsidRPr="00022502">
        <w:rPr>
          <w:rFonts w:ascii="Times New Roman" w:eastAsia="Times New Roman" w:hAnsi="Times New Roman" w:cs="Times New Roman"/>
          <w:b/>
          <w:bCs/>
          <w:kern w:val="36"/>
          <w:sz w:val="48"/>
          <w:szCs w:val="48"/>
          <w:lang w:val="ro-RO" w:eastAsia="ro-RO"/>
        </w:rPr>
        <w:t>Bibliografie</w:t>
      </w:r>
    </w:p>
    <w:p w14:paraId="6B02DFA3" w14:textId="77777777" w:rsidR="00022502" w:rsidRPr="00446954" w:rsidRDefault="00022502" w:rsidP="00446954">
      <w:pPr>
        <w:pStyle w:val="ListParagraph"/>
        <w:numPr>
          <w:ilvl w:val="0"/>
          <w:numId w:val="1"/>
        </w:numPr>
        <w:spacing w:line="240" w:lineRule="auto"/>
        <w:rPr>
          <w:rFonts w:ascii="Georgia Pro" w:hAnsi="Georgia Pro"/>
          <w:noProof/>
          <w:lang w:val="ro-RO"/>
        </w:rPr>
      </w:pPr>
      <w:bookmarkStart w:id="2" w:name="_Hlk199327239"/>
      <w:r w:rsidRPr="00446954">
        <w:rPr>
          <w:rFonts w:ascii="Georgia Pro" w:hAnsi="Georgia Pro"/>
          <w:noProof/>
          <w:lang w:val="ro-RO"/>
        </w:rPr>
        <w:t>Codul Muncii al României, Legea nr. 53/2003, articolul 164 - Stabilirea salariului de bază minim brut pe țară.</w:t>
      </w:r>
    </w:p>
    <w:p w14:paraId="684A5B49" w14:textId="77777777" w:rsidR="00022502" w:rsidRPr="00446954" w:rsidRDefault="00022502" w:rsidP="00446954">
      <w:pPr>
        <w:pStyle w:val="ListParagraph"/>
        <w:numPr>
          <w:ilvl w:val="0"/>
          <w:numId w:val="1"/>
        </w:numPr>
        <w:spacing w:line="240" w:lineRule="auto"/>
        <w:rPr>
          <w:rFonts w:ascii="Georgia Pro" w:hAnsi="Georgia Pro"/>
          <w:noProof/>
          <w:lang w:val="ro-RO"/>
        </w:rPr>
      </w:pPr>
      <w:r w:rsidRPr="00446954">
        <w:rPr>
          <w:rFonts w:ascii="Georgia Pro" w:hAnsi="Georgia Pro"/>
          <w:noProof/>
          <w:lang w:val="ro-RO"/>
        </w:rPr>
        <w:t>Comisia Națională de Prognoză (CNP). Date statistice privind evoluția salariilor și prognozele economice, 2010-2025.</w:t>
      </w:r>
    </w:p>
    <w:p w14:paraId="079CEF17" w14:textId="77777777" w:rsidR="00022502" w:rsidRPr="00446954" w:rsidRDefault="00022502" w:rsidP="00446954">
      <w:pPr>
        <w:pStyle w:val="ListParagraph"/>
        <w:numPr>
          <w:ilvl w:val="0"/>
          <w:numId w:val="1"/>
        </w:numPr>
        <w:spacing w:line="240" w:lineRule="auto"/>
        <w:rPr>
          <w:rFonts w:ascii="Georgia Pro" w:hAnsi="Georgia Pro"/>
          <w:noProof/>
          <w:lang w:val="ro-RO"/>
        </w:rPr>
      </w:pPr>
      <w:r w:rsidRPr="00446954">
        <w:rPr>
          <w:rFonts w:ascii="Georgia Pro" w:hAnsi="Georgia Pro"/>
          <w:noProof/>
          <w:lang w:val="ro-RO"/>
        </w:rPr>
        <w:lastRenderedPageBreak/>
        <w:t>Directiva (UE) 2022/2041 a Parlamentului European și a Consiliului din 19 octombrie 2022 privind salariile minime adecvate în Uniunea Europeană.</w:t>
      </w:r>
    </w:p>
    <w:p w14:paraId="2A8D0A97" w14:textId="77777777" w:rsidR="00022502" w:rsidRPr="00446954" w:rsidRDefault="00022502" w:rsidP="00446954">
      <w:pPr>
        <w:pStyle w:val="ListParagraph"/>
        <w:numPr>
          <w:ilvl w:val="0"/>
          <w:numId w:val="1"/>
        </w:numPr>
        <w:spacing w:line="240" w:lineRule="auto"/>
        <w:rPr>
          <w:rFonts w:ascii="Georgia Pro" w:hAnsi="Georgia Pro"/>
          <w:noProof/>
          <w:lang w:val="ro-RO"/>
        </w:rPr>
      </w:pPr>
      <w:r w:rsidRPr="00446954">
        <w:rPr>
          <w:rFonts w:ascii="Georgia Pro" w:hAnsi="Georgia Pro"/>
          <w:noProof/>
          <w:lang w:val="ro-RO"/>
        </w:rPr>
        <w:t>Eurofound. Studii comparative privind salariile minime în Uniunea Europeană și puterea de cumpărare, 2014-2024.</w:t>
      </w:r>
    </w:p>
    <w:p w14:paraId="7FDC1666" w14:textId="77777777" w:rsidR="00022502" w:rsidRPr="00446954" w:rsidRDefault="00022502" w:rsidP="00446954">
      <w:pPr>
        <w:pStyle w:val="ListParagraph"/>
        <w:numPr>
          <w:ilvl w:val="0"/>
          <w:numId w:val="1"/>
        </w:numPr>
        <w:spacing w:line="240" w:lineRule="auto"/>
        <w:rPr>
          <w:rFonts w:ascii="Georgia Pro" w:hAnsi="Georgia Pro"/>
          <w:noProof/>
          <w:lang w:val="ro-RO"/>
        </w:rPr>
      </w:pPr>
      <w:r w:rsidRPr="00446954">
        <w:rPr>
          <w:rFonts w:ascii="Georgia Pro" w:hAnsi="Georgia Pro"/>
          <w:noProof/>
          <w:lang w:val="ro-RO"/>
        </w:rPr>
        <w:t>Eurostat. Baza de date statistice privind salariile minime, inflația și indicatorii economici în statele membre UE, 2010-2025.</w:t>
      </w:r>
    </w:p>
    <w:p w14:paraId="39543533" w14:textId="77777777" w:rsidR="00022502" w:rsidRPr="00446954" w:rsidRDefault="00022502" w:rsidP="00446954">
      <w:pPr>
        <w:pStyle w:val="ListParagraph"/>
        <w:numPr>
          <w:ilvl w:val="0"/>
          <w:numId w:val="1"/>
        </w:numPr>
        <w:spacing w:line="240" w:lineRule="auto"/>
        <w:rPr>
          <w:rFonts w:ascii="Georgia Pro" w:hAnsi="Georgia Pro"/>
          <w:noProof/>
          <w:lang w:val="ro-RO"/>
        </w:rPr>
      </w:pPr>
      <w:r w:rsidRPr="00446954">
        <w:rPr>
          <w:rFonts w:ascii="Georgia Pro" w:hAnsi="Georgia Pro"/>
          <w:noProof/>
          <w:lang w:val="ro-RO"/>
        </w:rPr>
        <w:t>Friedrich Ebert Stiftung. Studii privind coșul minim de consum pentru un trai decent în România, 2018-2024.</w:t>
      </w:r>
    </w:p>
    <w:p w14:paraId="6E89BFF7" w14:textId="77777777" w:rsidR="00022502" w:rsidRPr="00446954" w:rsidRDefault="00022502" w:rsidP="00446954">
      <w:pPr>
        <w:pStyle w:val="ListParagraph"/>
        <w:numPr>
          <w:ilvl w:val="0"/>
          <w:numId w:val="1"/>
        </w:numPr>
        <w:spacing w:line="240" w:lineRule="auto"/>
        <w:rPr>
          <w:rFonts w:ascii="Georgia Pro" w:hAnsi="Georgia Pro"/>
          <w:noProof/>
          <w:lang w:val="ro-RO"/>
        </w:rPr>
      </w:pPr>
      <w:r w:rsidRPr="00446954">
        <w:rPr>
          <w:rFonts w:ascii="Georgia Pro" w:hAnsi="Georgia Pro"/>
          <w:noProof/>
          <w:lang w:val="ro-RO"/>
        </w:rPr>
        <w:t>Inspecția Muncii. Rapoarte privind numărul de salariați cu contracte individuale de muncă la salariul minim, 2010-2025.</w:t>
      </w:r>
    </w:p>
    <w:p w14:paraId="359649C9" w14:textId="77777777" w:rsidR="00022502" w:rsidRPr="00446954" w:rsidRDefault="00022502" w:rsidP="00446954">
      <w:pPr>
        <w:pStyle w:val="ListParagraph"/>
        <w:numPr>
          <w:ilvl w:val="0"/>
          <w:numId w:val="1"/>
        </w:numPr>
        <w:spacing w:line="240" w:lineRule="auto"/>
        <w:rPr>
          <w:rFonts w:ascii="Georgia Pro" w:hAnsi="Georgia Pro"/>
          <w:noProof/>
          <w:lang w:val="ro-RO"/>
        </w:rPr>
      </w:pPr>
      <w:r w:rsidRPr="00446954">
        <w:rPr>
          <w:rFonts w:ascii="Georgia Pro" w:hAnsi="Georgia Pro"/>
          <w:noProof/>
          <w:lang w:val="ro-RO"/>
        </w:rPr>
        <w:t>Institutul Național de Statistică (INS). Buletinul statistic lunar - Câștiguri salariale, 2010-2025.</w:t>
      </w:r>
    </w:p>
    <w:p w14:paraId="619982F4" w14:textId="77777777" w:rsidR="00022502" w:rsidRPr="00446954" w:rsidRDefault="00022502" w:rsidP="00446954">
      <w:pPr>
        <w:pStyle w:val="ListParagraph"/>
        <w:numPr>
          <w:ilvl w:val="0"/>
          <w:numId w:val="1"/>
        </w:numPr>
        <w:spacing w:line="240" w:lineRule="auto"/>
        <w:rPr>
          <w:rFonts w:ascii="Georgia Pro" w:hAnsi="Georgia Pro"/>
          <w:noProof/>
          <w:lang w:val="ro-RO"/>
        </w:rPr>
      </w:pPr>
      <w:r w:rsidRPr="00446954">
        <w:rPr>
          <w:rFonts w:ascii="Georgia Pro" w:hAnsi="Georgia Pro"/>
          <w:noProof/>
          <w:lang w:val="ro-RO"/>
        </w:rPr>
        <w:t>Legea nr. 174/2020 pentru modificarea și completarea Legii nr. 53/2003 - Codul muncii, privind stabilirea salariului de bază minim brut pe țară.</w:t>
      </w:r>
    </w:p>
    <w:p w14:paraId="0A258961" w14:textId="11A37C1D" w:rsidR="00EF052D" w:rsidRPr="00446954" w:rsidRDefault="00022502" w:rsidP="00446954">
      <w:pPr>
        <w:pStyle w:val="ListParagraph"/>
        <w:numPr>
          <w:ilvl w:val="0"/>
          <w:numId w:val="1"/>
        </w:numPr>
        <w:spacing w:line="240" w:lineRule="auto"/>
        <w:rPr>
          <w:rFonts w:ascii="Georgia Pro" w:hAnsi="Georgia Pro"/>
          <w:noProof/>
          <w:lang w:val="ro-RO"/>
        </w:rPr>
      </w:pPr>
      <w:r w:rsidRPr="00446954">
        <w:rPr>
          <w:rFonts w:ascii="Georgia Pro" w:hAnsi="Georgia Pro"/>
          <w:noProof/>
          <w:lang w:val="ro-RO"/>
        </w:rPr>
        <w:t>Legea nr. 367/2022 a dialogului social - Prevederi privind competențele în stabilirea salariului minim, articolul 100, alineatul (6).</w:t>
      </w:r>
    </w:p>
    <w:p w14:paraId="471BEB2C" w14:textId="77777777" w:rsidR="00022502" w:rsidRPr="00446954" w:rsidRDefault="00022502" w:rsidP="00446954">
      <w:pPr>
        <w:pStyle w:val="ListParagraph"/>
        <w:numPr>
          <w:ilvl w:val="0"/>
          <w:numId w:val="1"/>
        </w:numPr>
        <w:spacing w:line="240" w:lineRule="auto"/>
        <w:rPr>
          <w:rFonts w:ascii="Georgia Pro" w:hAnsi="Georgia Pro"/>
          <w:noProof/>
          <w:lang w:val="ro-RO"/>
        </w:rPr>
      </w:pPr>
      <w:r w:rsidRPr="00446954">
        <w:rPr>
          <w:rFonts w:ascii="Georgia Pro" w:hAnsi="Georgia Pro"/>
          <w:noProof/>
          <w:lang w:val="ro-RO"/>
        </w:rPr>
        <w:t>Syndex. Analize privind evoluția salariilor minime și coșul de consum pentru un trai decent în România și Europa, 2018-2024.</w:t>
      </w:r>
    </w:p>
    <w:p w14:paraId="61DACEF0" w14:textId="41CB2037" w:rsidR="00EF052D" w:rsidRPr="00446954" w:rsidRDefault="00EF052D" w:rsidP="00446954">
      <w:pPr>
        <w:pStyle w:val="ListParagraph"/>
        <w:numPr>
          <w:ilvl w:val="0"/>
          <w:numId w:val="1"/>
        </w:numPr>
        <w:spacing w:line="240" w:lineRule="auto"/>
        <w:rPr>
          <w:rFonts w:ascii="Georgia Pro" w:hAnsi="Georgia Pro"/>
          <w:noProof/>
          <w:lang w:val="ro-RO"/>
        </w:rPr>
      </w:pPr>
      <w:r w:rsidRPr="00446954">
        <w:rPr>
          <w:rFonts w:ascii="Georgia Pro" w:hAnsi="Georgia Pro"/>
          <w:noProof/>
          <w:lang w:val="ro-RO"/>
        </w:rPr>
        <w:t>Concordia, S. A. C. P. Considerații asupra politicii salariului minim în România.</w:t>
      </w:r>
    </w:p>
    <w:p w14:paraId="6ECC15D9" w14:textId="300C688B" w:rsidR="002019AE" w:rsidRPr="00446954" w:rsidRDefault="00EF052D" w:rsidP="00446954">
      <w:pPr>
        <w:pStyle w:val="ListParagraph"/>
        <w:numPr>
          <w:ilvl w:val="0"/>
          <w:numId w:val="1"/>
        </w:numPr>
        <w:rPr>
          <w:rFonts w:ascii="Georgia Pro" w:hAnsi="Georgia Pro"/>
          <w:noProof/>
          <w:lang w:val="ro-RO"/>
        </w:rPr>
      </w:pPr>
      <w:r w:rsidRPr="00446954">
        <w:rPr>
          <w:rFonts w:ascii="Georgia Pro" w:hAnsi="Georgia Pro"/>
          <w:noProof/>
          <w:lang w:val="ro-RO"/>
        </w:rPr>
        <w:t>Guga, Ș. (2021). Salariul minim și traiul minim decent. De la Mituri la Oportunităţi [Minimum Wage and Decent Minimum Living. from Myths to Opportunities]. SYNDEX Knowledge for Action.</w:t>
      </w:r>
    </w:p>
    <w:p w14:paraId="7022B940" w14:textId="1D68BBE3" w:rsidR="00EF052D" w:rsidRPr="00446954" w:rsidRDefault="00EF052D" w:rsidP="00446954">
      <w:pPr>
        <w:pStyle w:val="ListParagraph"/>
        <w:numPr>
          <w:ilvl w:val="0"/>
          <w:numId w:val="1"/>
        </w:numPr>
        <w:rPr>
          <w:rFonts w:ascii="Georgia Pro" w:hAnsi="Georgia Pro"/>
          <w:noProof/>
          <w:lang w:val="ro-RO"/>
        </w:rPr>
      </w:pPr>
      <w:r w:rsidRPr="00446954">
        <w:rPr>
          <w:rFonts w:ascii="Georgia Pro" w:hAnsi="Georgia Pro"/>
          <w:noProof/>
          <w:lang w:val="ro-RO"/>
        </w:rPr>
        <w:t>Pantea, S., &amp; Publice, M. F. Majorările salariului minim: impactul asupra ocupării în România.</w:t>
      </w:r>
    </w:p>
    <w:p w14:paraId="75060699" w14:textId="65A83D6E" w:rsidR="00EF052D" w:rsidRPr="00446954" w:rsidRDefault="00EF052D" w:rsidP="00446954">
      <w:pPr>
        <w:pStyle w:val="ListParagraph"/>
        <w:numPr>
          <w:ilvl w:val="0"/>
          <w:numId w:val="1"/>
        </w:numPr>
        <w:rPr>
          <w:rFonts w:ascii="Georgia Pro" w:hAnsi="Georgia Pro"/>
          <w:noProof/>
          <w:lang w:val="ro-RO"/>
        </w:rPr>
      </w:pPr>
      <w:r w:rsidRPr="00446954">
        <w:rPr>
          <w:rFonts w:ascii="Georgia Pro" w:hAnsi="Georgia Pro"/>
          <w:noProof/>
          <w:lang w:val="ro-RO"/>
        </w:rPr>
        <w:t>Ţiclea, A., Georgescu, L., &amp; Duţu, A. (2024). Salariul minim adecvat. Revista Româna de Dreptul Muncii, (6).</w:t>
      </w:r>
    </w:p>
    <w:p w14:paraId="3B1A0076" w14:textId="3F7252B7" w:rsidR="00EF052D" w:rsidRPr="00446954" w:rsidRDefault="00EF052D" w:rsidP="00446954">
      <w:pPr>
        <w:pStyle w:val="ListParagraph"/>
        <w:numPr>
          <w:ilvl w:val="0"/>
          <w:numId w:val="1"/>
        </w:numPr>
        <w:rPr>
          <w:rFonts w:ascii="Georgia Pro" w:hAnsi="Georgia Pro"/>
          <w:noProof/>
          <w:lang w:val="ro-RO"/>
        </w:rPr>
      </w:pPr>
      <w:r w:rsidRPr="00446954">
        <w:rPr>
          <w:rFonts w:ascii="Georgia Pro" w:hAnsi="Georgia Pro"/>
          <w:noProof/>
          <w:lang w:val="ro-RO"/>
        </w:rPr>
        <w:t>Enache, M., &amp; Toader, A. (2025). The Complicated Fiscal Landscape in Romania May Extend throughout 2025. Tax Mag., 7</w:t>
      </w:r>
      <w:r w:rsidR="00EA0F57">
        <w:rPr>
          <w:rFonts w:ascii="Georgia Pro" w:hAnsi="Georgia Pro"/>
          <w:noProof/>
          <w:lang w:val="ro-RO"/>
        </w:rPr>
        <w:t>.</w:t>
      </w:r>
    </w:p>
    <w:p w14:paraId="47493CD4" w14:textId="0E2EA692" w:rsidR="00EF052D" w:rsidRPr="00446954" w:rsidRDefault="00EF052D" w:rsidP="00446954">
      <w:pPr>
        <w:pStyle w:val="ListParagraph"/>
        <w:numPr>
          <w:ilvl w:val="0"/>
          <w:numId w:val="1"/>
        </w:numPr>
        <w:rPr>
          <w:rFonts w:ascii="Georgia Pro" w:hAnsi="Georgia Pro"/>
          <w:noProof/>
          <w:lang w:val="ro-RO"/>
        </w:rPr>
      </w:pPr>
      <w:r w:rsidRPr="00446954">
        <w:rPr>
          <w:rFonts w:ascii="Georgia Pro" w:hAnsi="Georgia Pro"/>
          <w:noProof/>
          <w:lang w:val="ro-RO"/>
        </w:rPr>
        <w:t>MOARCĂŞ, C. A., &amp; MIDAN, M. (2021). Consideraţii privind introducerea unui salariu minim european adecvat. Public Law Review/Revista de Drept Public, (3).</w:t>
      </w:r>
      <w:bookmarkEnd w:id="2"/>
    </w:p>
    <w:sectPr w:rsidR="00EF052D" w:rsidRPr="00446954"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96EF2" w14:textId="77777777" w:rsidR="00CD074F" w:rsidRDefault="00CD074F" w:rsidP="00E3005B">
      <w:pPr>
        <w:spacing w:line="240" w:lineRule="auto"/>
      </w:pPr>
      <w:r>
        <w:separator/>
      </w:r>
    </w:p>
  </w:endnote>
  <w:endnote w:type="continuationSeparator" w:id="0">
    <w:p w14:paraId="455B236C" w14:textId="77777777" w:rsidR="00CD074F" w:rsidRDefault="00CD074F"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altName w:val="Times New Roman"/>
    <w:charset w:val="00"/>
    <w:family w:val="roman"/>
    <w:pitch w:val="variable"/>
    <w:sig w:usb0="800002AF" w:usb1="00000003" w:usb2="00000000" w:usb3="00000000" w:csb0="0000009F" w:csb1="00000000"/>
  </w:font>
  <w:font w:name="Georgia Pro Black">
    <w:altName w:val="Times New Roman"/>
    <w:charset w:val="00"/>
    <w:family w:val="roman"/>
    <w:pitch w:val="variable"/>
    <w:sig w:usb0="800002AF" w:usb1="00000003" w:usb2="00000000" w:usb3="00000000" w:csb0="0000009F" w:csb1="00000000"/>
  </w:font>
  <w:font w:name="Georgia Pro Semibold">
    <w:altName w:val="Times New Roman"/>
    <w:charset w:val="00"/>
    <w:family w:val="roman"/>
    <w:pitch w:val="variable"/>
    <w:sig w:usb0="800002AF" w:usb1="00000003" w:usb2="00000000" w:usb3="00000000" w:csb0="0000009F" w:csb1="00000000"/>
  </w:font>
  <w:font w:name="Georgia Pro Cond Light">
    <w:altName w:val="Times New Roman"/>
    <w:charset w:val="00"/>
    <w:family w:val="roman"/>
    <w:pitch w:val="variable"/>
    <w:sig w:usb0="800002AF" w:usb1="00000003" w:usb2="00000000" w:usb3="00000000" w:csb0="0000009F" w:csb1="00000000"/>
  </w:font>
  <w:font w:name="Source Sans Pro SemiBold">
    <w:altName w:val="Cambria Math"/>
    <w:charset w:val="00"/>
    <w:family w:val="swiss"/>
    <w:pitch w:val="variable"/>
    <w:sig w:usb0="600002F7" w:usb1="02000001" w:usb2="00000000" w:usb3="00000000" w:csb0="0000019F" w:csb1="00000000"/>
  </w:font>
  <w:font w:name="Source Sans Pro Light">
    <w:altName w:val="Cambria Math"/>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766088"/>
      <w:docPartObj>
        <w:docPartGallery w:val="Page Numbers (Bottom of Page)"/>
        <w:docPartUnique/>
      </w:docPartObj>
    </w:sdtPr>
    <w:sdtEndPr>
      <w:rPr>
        <w:noProof/>
      </w:rPr>
    </w:sdtEndPr>
    <w:sdtContent>
      <w:p w14:paraId="663E8D05" w14:textId="77777777" w:rsidR="00C523D0" w:rsidRDefault="00C523D0" w:rsidP="00690F07">
        <w:pPr>
          <w:pStyle w:val="Footer"/>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9216667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093031"/>
      <w:docPartObj>
        <w:docPartGallery w:val="Page Numbers (Bottom of Page)"/>
        <w:docPartUnique/>
      </w:docPartObj>
    </w:sdtPr>
    <w:sdtEndPr/>
    <w:sdtContent>
      <w:p w14:paraId="1FCDDCFE" w14:textId="7ED31D29" w:rsidR="00C523D0" w:rsidRDefault="00C523D0" w:rsidP="00690F07">
        <w:pPr>
          <w:pStyle w:val="Footer"/>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7200826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5F2A47" w:rsidRPr="005F2A47">
          <w:rPr>
            <w:noProof/>
            <w:lang w:val="ro-RO"/>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67BF" w14:textId="77777777" w:rsidR="00C523D0" w:rsidRPr="00D12067" w:rsidRDefault="00C523D0" w:rsidP="00EF5800">
    <w:pPr>
      <w:pStyle w:val="Footer"/>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192294285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Pr="00D12067">
      <w:rPr>
        <w:rFonts w:ascii="Georgia Pro Cond Light" w:hAnsi="Georgia Pro Cond Light"/>
        <w:sz w:val="16"/>
        <w:szCs w:val="16"/>
      </w:rPr>
      <w:t xml:space="preserve">Copyright </w:t>
    </w:r>
    <w:r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Pr="00FC3C21">
      <w:t xml:space="preserve"> </w:t>
    </w:r>
    <w:r w:rsidRPr="00FC3C21">
      <w:rPr>
        <w:rFonts w:ascii="Georgia Pro Cond Light" w:hAnsi="Georgia Pro Cond Light"/>
        <w:sz w:val="16"/>
        <w:szCs w:val="16"/>
      </w:rPr>
      <w:t>This work is licensed under CC BY 4.0</w:t>
    </w:r>
  </w:p>
  <w:p w14:paraId="16E8E966" w14:textId="77777777" w:rsidR="00C523D0" w:rsidRPr="00D12067" w:rsidRDefault="00C523D0"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C523D0" w:rsidRDefault="00C523D0" w:rsidP="00254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A1523" w14:textId="77777777" w:rsidR="00CD074F" w:rsidRDefault="00CD074F" w:rsidP="00E3005B">
      <w:pPr>
        <w:spacing w:line="240" w:lineRule="auto"/>
      </w:pPr>
      <w:r>
        <w:separator/>
      </w:r>
    </w:p>
  </w:footnote>
  <w:footnote w:type="continuationSeparator" w:id="0">
    <w:p w14:paraId="1E07B4CD" w14:textId="77777777" w:rsidR="00CD074F" w:rsidRDefault="00CD074F"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523D0" w14:paraId="76D086F4" w14:textId="77777777" w:rsidTr="00C523D0">
      <w:tc>
        <w:tcPr>
          <w:tcW w:w="4868" w:type="dxa"/>
        </w:tcPr>
        <w:p w14:paraId="59542F38" w14:textId="058BF2F0" w:rsidR="00C523D0" w:rsidRPr="00901D18" w:rsidRDefault="00C523D0" w:rsidP="00212BC6">
          <w:pPr>
            <w:pStyle w:val="Header"/>
            <w:ind w:hanging="110"/>
            <w:rPr>
              <w:rFonts w:ascii="Source Sans Pro SemiBold" w:hAnsi="Source Sans Pro SemiBold"/>
              <w:lang w:val="ro-RO"/>
            </w:rPr>
          </w:pPr>
          <w:r w:rsidRPr="00901D18">
            <w:rPr>
              <w:rFonts w:ascii="Source Sans Pro SemiBold" w:hAnsi="Source Sans Pro SemiBold"/>
              <w:lang w:val="ro-RO"/>
            </w:rPr>
            <w:t xml:space="preserve">Journal XGEN, No. </w:t>
          </w:r>
          <w:r>
            <w:rPr>
              <w:rFonts w:ascii="Source Sans Pro SemiBold" w:hAnsi="Source Sans Pro SemiBold"/>
              <w:lang w:val="ro-RO"/>
            </w:rPr>
            <w:t>3</w:t>
          </w:r>
          <w:r w:rsidRPr="00901D18">
            <w:rPr>
              <w:rFonts w:ascii="Source Sans Pro SemiBold" w:hAnsi="Source Sans Pro SemiBold"/>
              <w:lang w:val="ro-RO"/>
            </w:rPr>
            <w:t>, 202</w:t>
          </w:r>
          <w:r>
            <w:rPr>
              <w:rFonts w:ascii="Source Sans Pro SemiBold" w:hAnsi="Source Sans Pro SemiBold"/>
              <w:lang w:val="ro-RO"/>
            </w:rPr>
            <w:t>4</w:t>
          </w:r>
        </w:p>
      </w:tc>
      <w:tc>
        <w:tcPr>
          <w:tcW w:w="4868" w:type="dxa"/>
        </w:tcPr>
        <w:p w14:paraId="0DA46558" w14:textId="77777777" w:rsidR="00C523D0" w:rsidRPr="00901D18" w:rsidRDefault="00C523D0"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C523D0" w:rsidRDefault="00C52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523D0" w14:paraId="7FA6AFDC" w14:textId="77777777" w:rsidTr="00C523D0">
      <w:tc>
        <w:tcPr>
          <w:tcW w:w="4868" w:type="dxa"/>
        </w:tcPr>
        <w:p w14:paraId="7C8C8D11" w14:textId="1A3E78E7" w:rsidR="00C523D0" w:rsidRPr="001373E7" w:rsidRDefault="00C523D0" w:rsidP="00690F07">
          <w:pPr>
            <w:pStyle w:val="Header"/>
            <w:ind w:hanging="109"/>
            <w:rPr>
              <w:rFonts w:ascii="Source Sans Pro SemiBold" w:hAnsi="Source Sans Pro SemiBold"/>
              <w:lang w:val="ro-RO"/>
            </w:rPr>
          </w:pPr>
          <w:r w:rsidRPr="001373E7">
            <w:rPr>
              <w:rFonts w:ascii="Source Sans Pro SemiBold" w:hAnsi="Source Sans Pro SemiBold"/>
              <w:lang w:val="ro-RO"/>
            </w:rPr>
            <w:t xml:space="preserve">Journal </w:t>
          </w:r>
          <w:r>
            <w:rPr>
              <w:rFonts w:ascii="Source Sans Pro SemiBold" w:hAnsi="Source Sans Pro SemiBold"/>
              <w:lang w:val="ro-RO"/>
            </w:rPr>
            <w:t>OPACJ</w:t>
          </w:r>
          <w:r w:rsidRPr="001373E7">
            <w:rPr>
              <w:rFonts w:ascii="Source Sans Pro SemiBold" w:hAnsi="Source Sans Pro SemiBold"/>
              <w:lang w:val="ro-RO"/>
            </w:rPr>
            <w:t xml:space="preserve">, No. </w:t>
          </w:r>
          <w:r>
            <w:rPr>
              <w:rFonts w:ascii="Source Sans Pro SemiBold" w:hAnsi="Source Sans Pro SemiBold"/>
              <w:lang w:val="ro-RO"/>
            </w:rPr>
            <w:t>3</w:t>
          </w:r>
          <w:r w:rsidRPr="001373E7">
            <w:rPr>
              <w:rFonts w:ascii="Source Sans Pro SemiBold" w:hAnsi="Source Sans Pro SemiBold"/>
              <w:lang w:val="ro-RO"/>
            </w:rPr>
            <w:t>, 202</w:t>
          </w:r>
          <w:r>
            <w:rPr>
              <w:rFonts w:ascii="Source Sans Pro SemiBold" w:hAnsi="Source Sans Pro SemiBold"/>
              <w:lang w:val="ro-RO"/>
            </w:rPr>
            <w:t>4</w:t>
          </w:r>
        </w:p>
      </w:tc>
      <w:tc>
        <w:tcPr>
          <w:tcW w:w="4868" w:type="dxa"/>
        </w:tcPr>
        <w:p w14:paraId="370CC322" w14:textId="2219FAF7" w:rsidR="00C523D0" w:rsidRPr="001373E7" w:rsidRDefault="00C523D0" w:rsidP="00690F07">
          <w:pPr>
            <w:pStyle w:val="Header"/>
            <w:ind w:right="-113" w:firstLine="0"/>
            <w:jc w:val="right"/>
            <w:rPr>
              <w:rFonts w:ascii="Source Sans Pro Light" w:hAnsi="Source Sans Pro Light"/>
              <w:lang w:val="ro-RO"/>
            </w:rPr>
          </w:pPr>
          <w:r w:rsidRPr="001373E7">
            <w:rPr>
              <w:rFonts w:ascii="Source Sans Pro Light" w:hAnsi="Source Sans Pro Light"/>
              <w:lang w:val="ro-RO"/>
            </w:rPr>
            <w:t>http://www.</w:t>
          </w:r>
          <w:r>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C523D0" w:rsidRDefault="00C52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523D0" w14:paraId="24AAB0EA" w14:textId="77777777" w:rsidTr="00DD0EC3">
      <w:tc>
        <w:tcPr>
          <w:tcW w:w="4868" w:type="dxa"/>
        </w:tcPr>
        <w:p w14:paraId="21827D6B" w14:textId="7A63D8A5" w:rsidR="00C523D0" w:rsidRPr="00901D18" w:rsidRDefault="00C523D0"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Pr>
              <w:rFonts w:ascii="Source Sans Pro SemiBold" w:hAnsi="Source Sans Pro SemiBold"/>
              <w:lang w:val="ro-RO"/>
            </w:rPr>
            <w:t>3</w:t>
          </w:r>
          <w:r w:rsidRPr="00901D18">
            <w:rPr>
              <w:rFonts w:ascii="Source Sans Pro SemiBold" w:hAnsi="Source Sans Pro SemiBold"/>
              <w:lang w:val="ro-RO"/>
            </w:rPr>
            <w:t>, 202</w:t>
          </w:r>
          <w:r>
            <w:rPr>
              <w:rFonts w:ascii="Source Sans Pro SemiBold" w:hAnsi="Source Sans Pro SemiBold"/>
              <w:lang w:val="ro-RO"/>
            </w:rPr>
            <w:t>4</w:t>
          </w:r>
        </w:p>
      </w:tc>
      <w:tc>
        <w:tcPr>
          <w:tcW w:w="4868" w:type="dxa"/>
        </w:tcPr>
        <w:p w14:paraId="26123C94" w14:textId="4BAAFACB" w:rsidR="00C523D0" w:rsidRPr="00901D18" w:rsidRDefault="00C523D0"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Pr>
              <w:rFonts w:ascii="Source Sans Pro Light" w:hAnsi="Source Sans Pro Light"/>
              <w:lang w:val="ro-RO"/>
            </w:rPr>
            <w:t>opacj</w:t>
          </w:r>
          <w:r w:rsidRPr="00901D18">
            <w:rPr>
              <w:rFonts w:ascii="Source Sans Pro Light" w:hAnsi="Source Sans Pro Light"/>
              <w:lang w:val="ro-RO"/>
            </w:rPr>
            <w:t>.org</w:t>
          </w:r>
        </w:p>
      </w:tc>
    </w:tr>
  </w:tbl>
  <w:p w14:paraId="4351CEDC" w14:textId="77777777" w:rsidR="00C523D0" w:rsidRPr="00267418" w:rsidRDefault="00C523D0" w:rsidP="00E858E2">
    <w:pPr>
      <w:pStyle w:val="Header"/>
      <w:ind w:firstLine="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4ADD"/>
    <w:multiLevelType w:val="hybridMultilevel"/>
    <w:tmpl w:val="6572327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A4"/>
    <w:rsid w:val="00000098"/>
    <w:rsid w:val="00022502"/>
    <w:rsid w:val="0005466B"/>
    <w:rsid w:val="00072AF1"/>
    <w:rsid w:val="0007412B"/>
    <w:rsid w:val="00087E69"/>
    <w:rsid w:val="0009417E"/>
    <w:rsid w:val="000A4862"/>
    <w:rsid w:val="000D5B03"/>
    <w:rsid w:val="000E549E"/>
    <w:rsid w:val="00106AD7"/>
    <w:rsid w:val="001231A3"/>
    <w:rsid w:val="001373E7"/>
    <w:rsid w:val="001601CA"/>
    <w:rsid w:val="001634DD"/>
    <w:rsid w:val="00173F8A"/>
    <w:rsid w:val="0018611C"/>
    <w:rsid w:val="001B0FF9"/>
    <w:rsid w:val="001B118F"/>
    <w:rsid w:val="002019AE"/>
    <w:rsid w:val="00212BC6"/>
    <w:rsid w:val="00227925"/>
    <w:rsid w:val="0025463F"/>
    <w:rsid w:val="00267418"/>
    <w:rsid w:val="00296BF5"/>
    <w:rsid w:val="002E3A2A"/>
    <w:rsid w:val="003251D9"/>
    <w:rsid w:val="0034162B"/>
    <w:rsid w:val="00360D40"/>
    <w:rsid w:val="00370577"/>
    <w:rsid w:val="003A08DB"/>
    <w:rsid w:val="003A2130"/>
    <w:rsid w:val="003D50DE"/>
    <w:rsid w:val="003D7B5E"/>
    <w:rsid w:val="003E70DA"/>
    <w:rsid w:val="0041428B"/>
    <w:rsid w:val="00415973"/>
    <w:rsid w:val="00424FFA"/>
    <w:rsid w:val="00426725"/>
    <w:rsid w:val="00440162"/>
    <w:rsid w:val="00446954"/>
    <w:rsid w:val="0045384A"/>
    <w:rsid w:val="00476DB9"/>
    <w:rsid w:val="004E20B9"/>
    <w:rsid w:val="004E7F40"/>
    <w:rsid w:val="004F75D3"/>
    <w:rsid w:val="00525183"/>
    <w:rsid w:val="00541C69"/>
    <w:rsid w:val="00547FE8"/>
    <w:rsid w:val="00555663"/>
    <w:rsid w:val="0056400F"/>
    <w:rsid w:val="00566D68"/>
    <w:rsid w:val="005A232C"/>
    <w:rsid w:val="005F2A47"/>
    <w:rsid w:val="00603B9B"/>
    <w:rsid w:val="006356E8"/>
    <w:rsid w:val="00645718"/>
    <w:rsid w:val="00681EA4"/>
    <w:rsid w:val="00690F07"/>
    <w:rsid w:val="006B5AAC"/>
    <w:rsid w:val="006C047B"/>
    <w:rsid w:val="00726F74"/>
    <w:rsid w:val="0077784E"/>
    <w:rsid w:val="007913EA"/>
    <w:rsid w:val="0079254B"/>
    <w:rsid w:val="007A3745"/>
    <w:rsid w:val="007A3A66"/>
    <w:rsid w:val="007A4E26"/>
    <w:rsid w:val="007A6061"/>
    <w:rsid w:val="007D03CA"/>
    <w:rsid w:val="007D07C5"/>
    <w:rsid w:val="007E5D88"/>
    <w:rsid w:val="007F4540"/>
    <w:rsid w:val="00851900"/>
    <w:rsid w:val="008570BB"/>
    <w:rsid w:val="008938E8"/>
    <w:rsid w:val="008B5388"/>
    <w:rsid w:val="008C66E1"/>
    <w:rsid w:val="008C7AFF"/>
    <w:rsid w:val="00901D18"/>
    <w:rsid w:val="00910BA6"/>
    <w:rsid w:val="0091111E"/>
    <w:rsid w:val="0095682F"/>
    <w:rsid w:val="009B4C26"/>
    <w:rsid w:val="009C170F"/>
    <w:rsid w:val="009D3C73"/>
    <w:rsid w:val="009D6A98"/>
    <w:rsid w:val="00A02B6B"/>
    <w:rsid w:val="00A05D76"/>
    <w:rsid w:val="00A17F52"/>
    <w:rsid w:val="00A41836"/>
    <w:rsid w:val="00A574E8"/>
    <w:rsid w:val="00A7719D"/>
    <w:rsid w:val="00A80562"/>
    <w:rsid w:val="00A8223F"/>
    <w:rsid w:val="00AB559B"/>
    <w:rsid w:val="00AB74A0"/>
    <w:rsid w:val="00AF20DB"/>
    <w:rsid w:val="00B006AA"/>
    <w:rsid w:val="00B639D0"/>
    <w:rsid w:val="00B6750C"/>
    <w:rsid w:val="00B76744"/>
    <w:rsid w:val="00B93BFA"/>
    <w:rsid w:val="00C05502"/>
    <w:rsid w:val="00C14AB0"/>
    <w:rsid w:val="00C2460D"/>
    <w:rsid w:val="00C523D0"/>
    <w:rsid w:val="00C63407"/>
    <w:rsid w:val="00C70272"/>
    <w:rsid w:val="00C94015"/>
    <w:rsid w:val="00CA7C0A"/>
    <w:rsid w:val="00CB2A86"/>
    <w:rsid w:val="00CD04D9"/>
    <w:rsid w:val="00CD074F"/>
    <w:rsid w:val="00CE2B2F"/>
    <w:rsid w:val="00CE39D1"/>
    <w:rsid w:val="00D0020D"/>
    <w:rsid w:val="00D12067"/>
    <w:rsid w:val="00D1521B"/>
    <w:rsid w:val="00D17B18"/>
    <w:rsid w:val="00D50F3F"/>
    <w:rsid w:val="00D84EB7"/>
    <w:rsid w:val="00D9537B"/>
    <w:rsid w:val="00DB236B"/>
    <w:rsid w:val="00DC5FAF"/>
    <w:rsid w:val="00DD0EC3"/>
    <w:rsid w:val="00E22573"/>
    <w:rsid w:val="00E3005B"/>
    <w:rsid w:val="00E4644F"/>
    <w:rsid w:val="00E6787B"/>
    <w:rsid w:val="00E80A3D"/>
    <w:rsid w:val="00E858E2"/>
    <w:rsid w:val="00EA0F57"/>
    <w:rsid w:val="00EC6E85"/>
    <w:rsid w:val="00EE0807"/>
    <w:rsid w:val="00EF052D"/>
    <w:rsid w:val="00EF5800"/>
    <w:rsid w:val="00F02433"/>
    <w:rsid w:val="00F04DED"/>
    <w:rsid w:val="00F11FC1"/>
    <w:rsid w:val="00F14370"/>
    <w:rsid w:val="00F2164A"/>
    <w:rsid w:val="00F56834"/>
    <w:rsid w:val="00F64D50"/>
    <w:rsid w:val="00F66B6A"/>
    <w:rsid w:val="00F828CD"/>
    <w:rsid w:val="00F86B98"/>
    <w:rsid w:val="00F95B6B"/>
    <w:rsid w:val="00FA3573"/>
    <w:rsid w:val="00FB2524"/>
    <w:rsid w:val="00FC3C21"/>
    <w:rsid w:val="00FC463A"/>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customStyle="1" w:styleId="MeniuneNerezolvat1">
    <w:name w:val="Mențiune Nerezolvat1"/>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D1521B"/>
    <w:rPr>
      <w:rFonts w:ascii="Georgia Pro Semibold" w:eastAsiaTheme="majorEastAsia" w:hAnsi="Georgia Pro Semibold" w:cstheme="majorBidi"/>
      <w:color w:val="000000" w:themeColor="text1"/>
      <w:sz w:val="24"/>
      <w:szCs w:val="24"/>
    </w:rPr>
  </w:style>
  <w:style w:type="paragraph" w:styleId="ListParagraph">
    <w:name w:val="List Paragraph"/>
    <w:basedOn w:val="Normal"/>
    <w:uiPriority w:val="34"/>
    <w:qFormat/>
    <w:rsid w:val="00726F74"/>
    <w:pPr>
      <w:spacing w:after="160" w:line="259" w:lineRule="auto"/>
      <w:ind w:left="720" w:firstLine="0"/>
      <w:contextualSpacing/>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391200420">
      <w:bodyDiv w:val="1"/>
      <w:marLeft w:val="0"/>
      <w:marRight w:val="0"/>
      <w:marTop w:val="0"/>
      <w:marBottom w:val="0"/>
      <w:divBdr>
        <w:top w:val="none" w:sz="0" w:space="0" w:color="auto"/>
        <w:left w:val="none" w:sz="0" w:space="0" w:color="auto"/>
        <w:bottom w:val="none" w:sz="0" w:space="0" w:color="auto"/>
        <w:right w:val="none" w:sz="0" w:space="0" w:color="auto"/>
      </w:divBdr>
    </w:div>
    <w:div w:id="480852380">
      <w:bodyDiv w:val="1"/>
      <w:marLeft w:val="0"/>
      <w:marRight w:val="0"/>
      <w:marTop w:val="0"/>
      <w:marBottom w:val="0"/>
      <w:divBdr>
        <w:top w:val="none" w:sz="0" w:space="0" w:color="auto"/>
        <w:left w:val="none" w:sz="0" w:space="0" w:color="auto"/>
        <w:bottom w:val="none" w:sz="0" w:space="0" w:color="auto"/>
        <w:right w:val="none" w:sz="0" w:space="0" w:color="auto"/>
      </w:divBdr>
    </w:div>
    <w:div w:id="507452077">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1293752288">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711033404">
      <w:bodyDiv w:val="1"/>
      <w:marLeft w:val="0"/>
      <w:marRight w:val="0"/>
      <w:marTop w:val="0"/>
      <w:marBottom w:val="0"/>
      <w:divBdr>
        <w:top w:val="none" w:sz="0" w:space="0" w:color="auto"/>
        <w:left w:val="none" w:sz="0" w:space="0" w:color="auto"/>
        <w:bottom w:val="none" w:sz="0" w:space="0" w:color="auto"/>
        <w:right w:val="none" w:sz="0" w:space="0" w:color="auto"/>
      </w:divBdr>
    </w:div>
    <w:div w:id="18860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Sheet1!$A$2:$A$23</c:f>
              <c:strCache>
                <c:ptCount val="22"/>
                <c:pt idx="0">
                  <c:v>Luxemburg</c:v>
                </c:pt>
                <c:pt idx="1">
                  <c:v>Belgia</c:v>
                </c:pt>
                <c:pt idx="2">
                  <c:v>Irlanda</c:v>
                </c:pt>
                <c:pt idx="3">
                  <c:v>Olanda</c:v>
                </c:pt>
                <c:pt idx="4">
                  <c:v>Germania</c:v>
                </c:pt>
                <c:pt idx="5">
                  <c:v>Franța</c:v>
                </c:pt>
                <c:pt idx="6">
                  <c:v>Spania</c:v>
                </c:pt>
                <c:pt idx="7">
                  <c:v>Slovenia</c:v>
                </c:pt>
                <c:pt idx="8">
                  <c:v>Cipru</c:v>
                </c:pt>
                <c:pt idx="9">
                  <c:v>Portugalia</c:v>
                </c:pt>
                <c:pt idx="10">
                  <c:v>Grecia</c:v>
                </c:pt>
                <c:pt idx="11">
                  <c:v>Malta</c:v>
                </c:pt>
                <c:pt idx="12">
                  <c:v>Cehia</c:v>
                </c:pt>
                <c:pt idx="13">
                  <c:v>Estonia</c:v>
                </c:pt>
                <c:pt idx="14">
                  <c:v>Lituania</c:v>
                </c:pt>
                <c:pt idx="15">
                  <c:v>Polonia</c:v>
                </c:pt>
                <c:pt idx="16">
                  <c:v>Slovacia</c:v>
                </c:pt>
                <c:pt idx="17">
                  <c:v>Croația</c:v>
                </c:pt>
                <c:pt idx="18">
                  <c:v>Letonia</c:v>
                </c:pt>
                <c:pt idx="19">
                  <c:v>Ungaria</c:v>
                </c:pt>
                <c:pt idx="20">
                  <c:v>România</c:v>
                </c:pt>
                <c:pt idx="21">
                  <c:v>Bulgaria</c:v>
                </c:pt>
              </c:strCache>
            </c:strRef>
          </c:cat>
          <c:val>
            <c:numRef>
              <c:f>Sheet1!$B$2:$B$23</c:f>
              <c:numCache>
                <c:formatCode>General</c:formatCode>
                <c:ptCount val="22"/>
                <c:pt idx="0">
                  <c:v>2204</c:v>
                </c:pt>
                <c:pt idx="1">
                  <c:v>1837</c:v>
                </c:pt>
                <c:pt idx="2">
                  <c:v>1724</c:v>
                </c:pt>
                <c:pt idx="3">
                  <c:v>1718</c:v>
                </c:pt>
                <c:pt idx="4">
                  <c:v>1457</c:v>
                </c:pt>
                <c:pt idx="5">
                  <c:v>1381</c:v>
                </c:pt>
                <c:pt idx="6">
                  <c:v>1178</c:v>
                </c:pt>
                <c:pt idx="7">
                  <c:v>925</c:v>
                </c:pt>
                <c:pt idx="8">
                  <c:v>837</c:v>
                </c:pt>
                <c:pt idx="9">
                  <c:v>789</c:v>
                </c:pt>
                <c:pt idx="10">
                  <c:v>778</c:v>
                </c:pt>
                <c:pt idx="11">
                  <c:v>751</c:v>
                </c:pt>
                <c:pt idx="12">
                  <c:v>647</c:v>
                </c:pt>
                <c:pt idx="13">
                  <c:v>647</c:v>
                </c:pt>
                <c:pt idx="14">
                  <c:v>633</c:v>
                </c:pt>
                <c:pt idx="15">
                  <c:v>597</c:v>
                </c:pt>
                <c:pt idx="16">
                  <c:v>569</c:v>
                </c:pt>
                <c:pt idx="17">
                  <c:v>553</c:v>
                </c:pt>
                <c:pt idx="18">
                  <c:v>535</c:v>
                </c:pt>
                <c:pt idx="19">
                  <c:v>416</c:v>
                </c:pt>
                <c:pt idx="20">
                  <c:v>365</c:v>
                </c:pt>
                <c:pt idx="21">
                  <c:v>309</c:v>
                </c:pt>
              </c:numCache>
            </c:numRef>
          </c:val>
          <c:extLst>
            <c:ext xmlns:c16="http://schemas.microsoft.com/office/drawing/2014/chart" uri="{C3380CC4-5D6E-409C-BE32-E72D297353CC}">
              <c16:uniqueId val="{00000000-3B4D-4CD8-9FC1-2D0AA82246A4}"/>
            </c:ext>
          </c:extLst>
        </c:ser>
        <c:dLbls>
          <c:dLblPos val="outEnd"/>
          <c:showLegendKey val="0"/>
          <c:showVal val="1"/>
          <c:showCatName val="0"/>
          <c:showSerName val="0"/>
          <c:showPercent val="0"/>
          <c:showBubbleSize val="0"/>
        </c:dLbls>
        <c:gapWidth val="219"/>
        <c:overlap val="-27"/>
        <c:axId val="245124880"/>
        <c:axId val="245125296"/>
      </c:barChart>
      <c:catAx>
        <c:axId val="24512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125296"/>
        <c:crosses val="autoZero"/>
        <c:auto val="1"/>
        <c:lblAlgn val="ctr"/>
        <c:lblOffset val="100"/>
        <c:noMultiLvlLbl val="0"/>
      </c:catAx>
      <c:valAx>
        <c:axId val="24512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12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Sheet1!$C$1</c:f>
              <c:strCache>
                <c:ptCount val="1"/>
                <c:pt idx="0">
                  <c:v>Column1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Sheet1!$A$2:$A$23</c:f>
              <c:strCache>
                <c:ptCount val="22"/>
                <c:pt idx="0">
                  <c:v>Luxemburg</c:v>
                </c:pt>
                <c:pt idx="1">
                  <c:v>Irlanda</c:v>
                </c:pt>
                <c:pt idx="2">
                  <c:v>Olanda</c:v>
                </c:pt>
                <c:pt idx="3">
                  <c:v>Germania</c:v>
                </c:pt>
                <c:pt idx="4">
                  <c:v>Belgia</c:v>
                </c:pt>
                <c:pt idx="5">
                  <c:v>Franța</c:v>
                </c:pt>
                <c:pt idx="6">
                  <c:v>Spania</c:v>
                </c:pt>
                <c:pt idx="7">
                  <c:v>Slovenia</c:v>
                </c:pt>
                <c:pt idx="8">
                  <c:v>Cipru</c:v>
                </c:pt>
                <c:pt idx="9">
                  <c:v>Polonia</c:v>
                </c:pt>
                <c:pt idx="10">
                  <c:v>Portugalia</c:v>
                </c:pt>
                <c:pt idx="11">
                  <c:v>Malta</c:v>
                </c:pt>
                <c:pt idx="12">
                  <c:v>Lituania</c:v>
                </c:pt>
                <c:pt idx="13">
                  <c:v>Grecia</c:v>
                </c:pt>
                <c:pt idx="14">
                  <c:v>Cehia</c:v>
                </c:pt>
                <c:pt idx="15">
                  <c:v>Estonia</c:v>
                </c:pt>
                <c:pt idx="16">
                  <c:v>Croația</c:v>
                </c:pt>
                <c:pt idx="17">
                  <c:v>Slovacia</c:v>
                </c:pt>
                <c:pt idx="18">
                  <c:v>Letonia</c:v>
                </c:pt>
                <c:pt idx="19">
                  <c:v>Ungaria</c:v>
                </c:pt>
                <c:pt idx="20">
                  <c:v>România</c:v>
                </c:pt>
                <c:pt idx="21">
                  <c:v>Bulgaria</c:v>
                </c:pt>
              </c:strCache>
            </c:strRef>
          </c:cat>
          <c:val>
            <c:numRef>
              <c:f>Sheet1!$C$2:$C$23</c:f>
              <c:numCache>
                <c:formatCode>General</c:formatCode>
                <c:ptCount val="22"/>
                <c:pt idx="0">
                  <c:v>2571</c:v>
                </c:pt>
                <c:pt idx="1">
                  <c:v>2146</c:v>
                </c:pt>
                <c:pt idx="2">
                  <c:v>2070</c:v>
                </c:pt>
                <c:pt idx="3">
                  <c:v>2054</c:v>
                </c:pt>
                <c:pt idx="4">
                  <c:v>1994</c:v>
                </c:pt>
                <c:pt idx="5">
                  <c:v>1767</c:v>
                </c:pt>
                <c:pt idx="6">
                  <c:v>1323</c:v>
                </c:pt>
                <c:pt idx="7">
                  <c:v>1254</c:v>
                </c:pt>
                <c:pt idx="8">
                  <c:v>1000</c:v>
                </c:pt>
                <c:pt idx="9">
                  <c:v>978</c:v>
                </c:pt>
                <c:pt idx="10">
                  <c:v>957</c:v>
                </c:pt>
                <c:pt idx="11">
                  <c:v>925</c:v>
                </c:pt>
                <c:pt idx="12">
                  <c:v>924</c:v>
                </c:pt>
                <c:pt idx="13">
                  <c:v>910</c:v>
                </c:pt>
                <c:pt idx="14">
                  <c:v>840</c:v>
                </c:pt>
                <c:pt idx="15">
                  <c:v>820</c:v>
                </c:pt>
                <c:pt idx="16">
                  <c:v>764</c:v>
                </c:pt>
                <c:pt idx="17">
                  <c:v>750</c:v>
                </c:pt>
                <c:pt idx="18">
                  <c:v>700</c:v>
                </c:pt>
                <c:pt idx="19">
                  <c:v>697</c:v>
                </c:pt>
                <c:pt idx="20">
                  <c:v>663</c:v>
                </c:pt>
                <c:pt idx="21">
                  <c:v>477</c:v>
                </c:pt>
              </c:numCache>
            </c:numRef>
          </c:val>
          <c:extLst>
            <c:ext xmlns:c16="http://schemas.microsoft.com/office/drawing/2014/chart" uri="{C3380CC4-5D6E-409C-BE32-E72D297353CC}">
              <c16:uniqueId val="{00000000-FECA-4651-A32B-E3EF1115BFDD}"/>
            </c:ext>
          </c:extLst>
        </c:ser>
        <c:dLbls>
          <c:dLblPos val="outEnd"/>
          <c:showLegendKey val="0"/>
          <c:showVal val="1"/>
          <c:showCatName val="0"/>
          <c:showSerName val="0"/>
          <c:showPercent val="0"/>
          <c:showBubbleSize val="0"/>
        </c:dLbls>
        <c:gapWidth val="100"/>
        <c:overlap val="-24"/>
        <c:axId val="1259382560"/>
        <c:axId val="1259379232"/>
      </c:barChart>
      <c:catAx>
        <c:axId val="125938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259379232"/>
        <c:crosses val="autoZero"/>
        <c:auto val="1"/>
        <c:lblAlgn val="ctr"/>
        <c:lblOffset val="100"/>
        <c:noMultiLvlLbl val="0"/>
      </c:catAx>
      <c:valAx>
        <c:axId val="125937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25938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Props1.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4.xml><?xml version="1.0" encoding="utf-8"?>
<ds:datastoreItem xmlns:ds="http://schemas.openxmlformats.org/officeDocument/2006/customXml" ds:itemID="{74D43C1D-34EF-443C-B75F-8C7B961F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template_jXGEN_w1</Template>
  <TotalTime>13</TotalTime>
  <Pages>1</Pages>
  <Words>3392</Words>
  <Characters>19341</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Ana</cp:lastModifiedBy>
  <cp:revision>6</cp:revision>
  <cp:lastPrinted>2021-11-16T18:47:00Z</cp:lastPrinted>
  <dcterms:created xsi:type="dcterms:W3CDTF">2025-05-28T17:21:00Z</dcterms:created>
  <dcterms:modified xsi:type="dcterms:W3CDTF">2025-05-28T17:33:00Z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